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FDA" w:rsidRPr="007C1FDA" w:rsidRDefault="007C1FDA" w:rsidP="007C1FDA">
      <w:pPr>
        <w:spacing w:after="0" w:line="240" w:lineRule="auto"/>
        <w:ind w:left="2835" w:right="1134" w:hanging="1134"/>
        <w:jc w:val="both"/>
        <w:rPr>
          <w:rFonts w:ascii="Tahoma" w:eastAsia="Times New Roman" w:hAnsi="Tahoma" w:cs="Tahoma"/>
          <w:i/>
          <w:sz w:val="18"/>
          <w:szCs w:val="18"/>
          <w:lang w:val="es-ES" w:eastAsia="es-ES"/>
        </w:rPr>
      </w:pPr>
      <w:bookmarkStart w:id="0" w:name="_GoBack"/>
      <w:bookmarkEnd w:id="0"/>
      <w:r w:rsidRPr="007C1FDA">
        <w:rPr>
          <w:rFonts w:ascii="Tahoma" w:eastAsia="Times New Roman" w:hAnsi="Tahoma" w:cs="Tahoma"/>
          <w:b/>
          <w:sz w:val="20"/>
          <w:szCs w:val="20"/>
          <w:lang w:val="es-ES" w:eastAsia="es-ES"/>
        </w:rPr>
        <w:t xml:space="preserve">Sumilla   </w:t>
      </w:r>
      <w:r w:rsidRPr="007C1FDA">
        <w:rPr>
          <w:rFonts w:ascii="Tahoma" w:eastAsia="Times New Roman" w:hAnsi="Tahoma" w:cs="Tahoma"/>
          <w:b/>
          <w:sz w:val="18"/>
          <w:szCs w:val="18"/>
          <w:lang w:val="es-ES" w:eastAsia="es-ES"/>
        </w:rPr>
        <w:t>:</w:t>
      </w:r>
      <w:r w:rsidRPr="007C1FDA">
        <w:rPr>
          <w:rFonts w:ascii="Tahoma" w:eastAsia="Times New Roman" w:hAnsi="Tahoma" w:cs="Tahoma"/>
          <w:i/>
          <w:sz w:val="18"/>
          <w:szCs w:val="18"/>
          <w:lang w:val="es-ES" w:eastAsia="es-ES"/>
        </w:rPr>
        <w:tab/>
        <w:t>“</w:t>
      </w:r>
      <w:r w:rsidRPr="007C1FDA">
        <w:rPr>
          <w:rFonts w:ascii="Times New Roman" w:eastAsia="Calibri" w:hAnsi="Times New Roman" w:cs="Times New Roman"/>
          <w:i/>
          <w:sz w:val="20"/>
          <w:szCs w:val="20"/>
          <w:lang w:val="es-ES" w:eastAsia="es-ES"/>
        </w:rPr>
        <w:t>La naturaleza de las infracciones cometidas, se advierte que éstas revisten gravedad, debido a la vulneración del principio de moralidad que rige todos los actos vinculados a las contrataciones públicas y que, junto a la fe pública, constituyen bienes jurídicos merecedores de protección y tutela especial</w:t>
      </w:r>
      <w:r w:rsidRPr="007C1FDA">
        <w:rPr>
          <w:rFonts w:ascii="Times New Roman" w:eastAsia="Times New Roman" w:hAnsi="Times New Roman" w:cs="Times New Roman"/>
          <w:i/>
          <w:sz w:val="20"/>
          <w:szCs w:val="20"/>
          <w:lang w:val="es-ES" w:eastAsia="es-ES"/>
        </w:rPr>
        <w:t>”.</w:t>
      </w:r>
    </w:p>
    <w:p w:rsidR="007C1FDA" w:rsidRPr="007C1FDA" w:rsidRDefault="007C1FDA" w:rsidP="007C1FDA">
      <w:pPr>
        <w:spacing w:after="0" w:line="240" w:lineRule="auto"/>
        <w:ind w:left="2268" w:right="1843"/>
        <w:jc w:val="both"/>
        <w:rPr>
          <w:rFonts w:ascii="Tahoma" w:eastAsia="Times New Roman" w:hAnsi="Tahoma" w:cs="Tahoma"/>
          <w:sz w:val="20"/>
          <w:szCs w:val="20"/>
          <w:lang w:val="es-ES" w:eastAsia="es-ES"/>
        </w:rPr>
      </w:pPr>
    </w:p>
    <w:p w:rsidR="007C1FDA" w:rsidRPr="007C1FDA" w:rsidRDefault="007C1FDA" w:rsidP="007C1FDA">
      <w:pPr>
        <w:spacing w:after="0" w:line="240" w:lineRule="auto"/>
        <w:ind w:left="2268" w:right="1843"/>
        <w:jc w:val="both"/>
        <w:rPr>
          <w:rFonts w:ascii="Times New Roman" w:eastAsia="Times New Roman" w:hAnsi="Times New Roman" w:cs="Times New Roman"/>
          <w:sz w:val="16"/>
          <w:szCs w:val="16"/>
          <w:lang w:val="es-ES" w:eastAsia="es-ES"/>
        </w:rPr>
      </w:pPr>
    </w:p>
    <w:p w:rsidR="007C1FDA" w:rsidRPr="007C1FDA" w:rsidRDefault="007C1FDA" w:rsidP="007C1FDA">
      <w:pPr>
        <w:spacing w:after="0" w:line="240" w:lineRule="auto"/>
        <w:ind w:left="2268" w:right="1843"/>
        <w:jc w:val="both"/>
        <w:rPr>
          <w:rFonts w:ascii="Times New Roman" w:eastAsia="Times New Roman" w:hAnsi="Times New Roman" w:cs="Times New Roman"/>
          <w:sz w:val="16"/>
          <w:szCs w:val="16"/>
          <w:lang w:val="es-ES" w:eastAsia="es-ES"/>
        </w:rPr>
      </w:pPr>
    </w:p>
    <w:p w:rsidR="007C1FDA" w:rsidRPr="007C1FDA" w:rsidRDefault="007C1FDA" w:rsidP="007C1FDA">
      <w:pPr>
        <w:spacing w:after="0" w:line="240" w:lineRule="auto"/>
        <w:ind w:left="2268" w:right="1843"/>
        <w:jc w:val="both"/>
        <w:rPr>
          <w:rFonts w:ascii="Times New Roman" w:eastAsia="Times New Roman" w:hAnsi="Times New Roman" w:cs="Times New Roman"/>
          <w:b/>
          <w:sz w:val="16"/>
          <w:szCs w:val="16"/>
          <w:lang w:val="es-ES" w:eastAsia="es-ES"/>
        </w:rPr>
      </w:pPr>
    </w:p>
    <w:p w:rsidR="007C1FDA" w:rsidRPr="007C1FDA" w:rsidRDefault="00022069" w:rsidP="00022069">
      <w:pPr>
        <w:spacing w:after="0" w:line="240" w:lineRule="auto"/>
        <w:ind w:right="991"/>
        <w:rPr>
          <w:rFonts w:ascii="Tahoma" w:eastAsia="Times New Roman" w:hAnsi="Tahoma" w:cs="Tahoma"/>
          <w:b/>
          <w:i/>
          <w:sz w:val="20"/>
          <w:szCs w:val="20"/>
          <w:lang w:val="es-ES" w:eastAsia="es-ES"/>
        </w:rPr>
      </w:pPr>
      <w:r>
        <w:rPr>
          <w:rFonts w:ascii="Tahoma" w:eastAsia="Times New Roman" w:hAnsi="Tahoma" w:cs="Tahoma"/>
          <w:b/>
          <w:i/>
          <w:sz w:val="20"/>
          <w:szCs w:val="20"/>
          <w:lang w:val="es-ES" w:eastAsia="es-ES"/>
        </w:rPr>
        <w:tab/>
      </w:r>
      <w:r>
        <w:rPr>
          <w:rFonts w:ascii="Tahoma" w:eastAsia="Times New Roman" w:hAnsi="Tahoma" w:cs="Tahoma"/>
          <w:b/>
          <w:i/>
          <w:sz w:val="20"/>
          <w:szCs w:val="20"/>
          <w:lang w:val="es-ES" w:eastAsia="es-ES"/>
        </w:rPr>
        <w:tab/>
      </w:r>
      <w:r>
        <w:rPr>
          <w:rFonts w:ascii="Tahoma" w:eastAsia="Times New Roman" w:hAnsi="Tahoma" w:cs="Tahoma"/>
          <w:b/>
          <w:i/>
          <w:sz w:val="20"/>
          <w:szCs w:val="20"/>
          <w:lang w:val="es-ES" w:eastAsia="es-ES"/>
        </w:rPr>
        <w:tab/>
      </w:r>
      <w:r>
        <w:rPr>
          <w:rFonts w:ascii="Tahoma" w:eastAsia="Times New Roman" w:hAnsi="Tahoma" w:cs="Tahoma"/>
          <w:b/>
          <w:i/>
          <w:sz w:val="20"/>
          <w:szCs w:val="20"/>
          <w:lang w:val="es-ES" w:eastAsia="es-ES"/>
        </w:rPr>
        <w:tab/>
      </w:r>
      <w:r>
        <w:rPr>
          <w:rFonts w:ascii="Tahoma" w:eastAsia="Times New Roman" w:hAnsi="Tahoma" w:cs="Tahoma"/>
          <w:b/>
          <w:i/>
          <w:sz w:val="20"/>
          <w:szCs w:val="20"/>
          <w:lang w:val="es-ES" w:eastAsia="es-ES"/>
        </w:rPr>
        <w:tab/>
      </w:r>
      <w:r>
        <w:rPr>
          <w:rFonts w:ascii="Tahoma" w:eastAsia="Times New Roman" w:hAnsi="Tahoma" w:cs="Tahoma"/>
          <w:b/>
          <w:i/>
          <w:sz w:val="20"/>
          <w:szCs w:val="20"/>
          <w:lang w:val="es-ES" w:eastAsia="es-ES"/>
        </w:rPr>
        <w:tab/>
        <w:t>Lima, 19 de Septiembre de 2011</w:t>
      </w:r>
    </w:p>
    <w:p w:rsidR="007C1FDA" w:rsidRPr="007C1FDA" w:rsidRDefault="007C1FDA" w:rsidP="007C1FDA">
      <w:pPr>
        <w:spacing w:after="0" w:line="240" w:lineRule="auto"/>
        <w:ind w:left="4956" w:firstLine="708"/>
        <w:jc w:val="right"/>
        <w:rPr>
          <w:rFonts w:ascii="Tahoma" w:eastAsia="Batang" w:hAnsi="Tahoma" w:cs="Tahoma"/>
          <w:b/>
          <w:color w:val="FFFFFF"/>
          <w:sz w:val="20"/>
          <w:szCs w:val="20"/>
          <w:lang w:eastAsia="es-ES"/>
        </w:rPr>
      </w:pPr>
      <w:r w:rsidRPr="007C1FDA">
        <w:rPr>
          <w:rFonts w:ascii="Tahoma" w:eastAsia="Batang" w:hAnsi="Tahoma" w:cs="Tahoma"/>
          <w:b/>
          <w:color w:val="FFFFFF"/>
          <w:sz w:val="20"/>
          <w:szCs w:val="20"/>
          <w:lang w:eastAsia="es-ES"/>
        </w:rPr>
        <w:t xml:space="preserve">Lima, 05 de mayo de 2010   </w:t>
      </w:r>
    </w:p>
    <w:p w:rsidR="007C1FDA" w:rsidRPr="007C1FDA" w:rsidRDefault="007C1FDA" w:rsidP="007C1FDA">
      <w:pPr>
        <w:spacing w:after="0" w:line="240" w:lineRule="auto"/>
        <w:jc w:val="right"/>
        <w:rPr>
          <w:rFonts w:ascii="Tahoma" w:eastAsia="Batang" w:hAnsi="Tahoma" w:cs="Tahoma"/>
          <w:sz w:val="20"/>
          <w:szCs w:val="20"/>
          <w:lang w:val="es-ES" w:eastAsia="es-ES"/>
        </w:rPr>
      </w:pPr>
    </w:p>
    <w:p w:rsidR="007C1FDA" w:rsidRPr="007C1FDA" w:rsidRDefault="007C1FDA" w:rsidP="007C1FDA">
      <w:pPr>
        <w:spacing w:after="0" w:line="240" w:lineRule="auto"/>
        <w:ind w:left="142" w:right="-283"/>
        <w:jc w:val="both"/>
        <w:rPr>
          <w:rFonts w:ascii="Tahoma" w:eastAsia="Times New Roman" w:hAnsi="Tahoma" w:cs="Tahoma"/>
          <w:lang w:val="es-ES" w:eastAsia="es-ES"/>
        </w:rPr>
      </w:pPr>
      <w:r w:rsidRPr="007C1FDA">
        <w:rPr>
          <w:rFonts w:ascii="Tahoma" w:eastAsia="Times New Roman" w:hAnsi="Tahoma" w:cs="Tahoma"/>
          <w:b/>
          <w:lang w:val="es-ES" w:eastAsia="es-ES"/>
        </w:rPr>
        <w:t>Visto</w:t>
      </w:r>
      <w:r w:rsidRPr="007C1FDA">
        <w:rPr>
          <w:rFonts w:ascii="Tahoma" w:eastAsia="Times New Roman" w:hAnsi="Tahoma" w:cs="Tahoma"/>
          <w:lang w:val="es-ES" w:eastAsia="es-ES"/>
        </w:rPr>
        <w:t xml:space="preserve"> en sesión de fecha 19 de Septiembre de 2011 de la Primera Sala del Tribunal de Contrataciones del Estado, el Expediente N° </w:t>
      </w:r>
      <w:r>
        <w:rPr>
          <w:rFonts w:ascii="Tahoma" w:eastAsia="Times New Roman" w:hAnsi="Tahoma" w:cs="Tahoma"/>
          <w:lang w:val="es-ES" w:eastAsia="es-ES"/>
        </w:rPr>
        <w:t>380</w:t>
      </w:r>
      <w:r w:rsidRPr="007C1FDA">
        <w:rPr>
          <w:rFonts w:ascii="Tahoma" w:eastAsia="Times New Roman" w:hAnsi="Tahoma" w:cs="Tahoma"/>
          <w:lang w:val="es-ES" w:eastAsia="es-ES"/>
        </w:rPr>
        <w:t xml:space="preserve">.2011.TC sobre Procedimiento Administrativo Sancionador contra </w:t>
      </w:r>
      <w:r w:rsidRPr="007C1FDA">
        <w:rPr>
          <w:rFonts w:ascii="Tahoma" w:eastAsia="Times New Roman" w:hAnsi="Tahoma" w:cs="Tahoma"/>
          <w:lang w:eastAsia="es-ES"/>
        </w:rPr>
        <w:t xml:space="preserve">la empresa </w:t>
      </w:r>
      <w:r w:rsidRPr="007C1FDA">
        <w:rPr>
          <w:rFonts w:ascii="Tahoma" w:eastAsia="Times New Roman" w:hAnsi="Tahoma" w:cs="Tahoma"/>
          <w:b/>
          <w:lang w:val="es-ES_tradnl" w:eastAsia="es-ES"/>
        </w:rPr>
        <w:t>CONTEMAR S.A.C.</w:t>
      </w:r>
      <w:r w:rsidRPr="007C1FDA">
        <w:rPr>
          <w:rFonts w:ascii="Tahoma" w:eastAsia="Times New Roman" w:hAnsi="Tahoma" w:cs="Tahoma"/>
          <w:b/>
          <w:lang w:val="es-ES" w:eastAsia="es-ES"/>
        </w:rPr>
        <w:t xml:space="preserve">, </w:t>
      </w:r>
      <w:r w:rsidRPr="007C1FDA">
        <w:rPr>
          <w:rFonts w:ascii="Tahoma" w:eastAsia="Times New Roman" w:hAnsi="Tahoma" w:cs="Tahoma"/>
          <w:lang w:val="es-ES" w:eastAsia="es-ES"/>
        </w:rPr>
        <w:t>por supuesta responsabilidad</w:t>
      </w:r>
      <w:r w:rsidRPr="007C1FDA">
        <w:rPr>
          <w:rFonts w:ascii="Tahoma" w:hAnsi="Tahoma" w:cs="Tahoma"/>
          <w:color w:val="000000"/>
          <w:lang w:val="es-ES"/>
        </w:rPr>
        <w:t xml:space="preserve">en </w:t>
      </w:r>
      <w:r>
        <w:rPr>
          <w:rFonts w:ascii="Tahoma" w:hAnsi="Tahoma" w:cs="Tahoma"/>
          <w:color w:val="000000"/>
          <w:lang w:val="es-ES"/>
        </w:rPr>
        <w:t xml:space="preserve">haber </w:t>
      </w:r>
      <w:r w:rsidRPr="007C1FDA">
        <w:rPr>
          <w:rFonts w:ascii="Tahoma" w:eastAsia="Times New Roman" w:hAnsi="Tahoma" w:cs="Tahoma"/>
          <w:lang w:val="es-ES_tradnl" w:eastAsia="es-ES"/>
        </w:rPr>
        <w:t>participado en el Proceso por Competencia Menor Nº CME-0121-2009-OFP/PETROPERÚ, sin contar con inscripción vigente en el RNP; y por haber presentado como parte de su propuesta técnica, la Declaración Jurada de Cumplimiento de fecha 15 de Diciembre de 2009</w:t>
      </w:r>
      <w:r w:rsidRPr="007C1FDA">
        <w:rPr>
          <w:rFonts w:ascii="Tahoma" w:hAnsi="Tahoma" w:cs="Tahoma"/>
          <w:color w:val="000000"/>
          <w:lang w:val="es-ES"/>
        </w:rPr>
        <w:t xml:space="preserve">, </w:t>
      </w:r>
      <w:r w:rsidRPr="007C1FDA">
        <w:rPr>
          <w:rFonts w:ascii="Tahoma" w:eastAsia="Calibri" w:hAnsi="Tahoma" w:cs="Tahoma"/>
          <w:lang w:val="es-ES" w:eastAsia="es-ES"/>
        </w:rPr>
        <w:t>respecto de</w:t>
      </w:r>
      <w:r>
        <w:rPr>
          <w:rFonts w:ascii="Tahoma" w:eastAsia="Calibri" w:hAnsi="Tahoma" w:cs="Tahoma"/>
          <w:lang w:val="es-ES" w:eastAsia="es-ES"/>
        </w:rPr>
        <w:t>l proceso de selección por</w:t>
      </w:r>
      <w:r w:rsidRPr="007C1FDA">
        <w:rPr>
          <w:rFonts w:ascii="Tahoma" w:eastAsia="Times New Roman" w:hAnsi="Tahoma" w:cs="Tahoma"/>
          <w:lang w:val="es-ES_tradnl" w:eastAsia="es-ES"/>
        </w:rPr>
        <w:t>Competencia Menor Nº CME-0121-2009-OFP/PETROPERÚ</w:t>
      </w:r>
      <w:r w:rsidRPr="007C1FDA">
        <w:rPr>
          <w:rFonts w:ascii="Tahoma" w:eastAsia="Times New Roman" w:hAnsi="Tahoma" w:cs="Tahoma"/>
          <w:lang w:val="es-ES" w:eastAsia="es-ES"/>
        </w:rPr>
        <w:t xml:space="preserve">; y, atendiendo a lo siguiente:   </w:t>
      </w:r>
    </w:p>
    <w:p w:rsidR="007C1FDA" w:rsidRPr="007C1FDA" w:rsidRDefault="007C1FDA" w:rsidP="007C1FDA">
      <w:pPr>
        <w:spacing w:after="0" w:line="240" w:lineRule="auto"/>
        <w:ind w:left="142" w:right="-283"/>
        <w:jc w:val="both"/>
        <w:rPr>
          <w:rFonts w:ascii="Tahoma" w:eastAsia="Times New Roman" w:hAnsi="Tahoma" w:cs="Tahoma"/>
          <w:sz w:val="20"/>
          <w:szCs w:val="20"/>
          <w:lang w:val="es-ES" w:eastAsia="es-ES"/>
        </w:rPr>
      </w:pPr>
    </w:p>
    <w:p w:rsidR="007C1FDA" w:rsidRPr="007C1FDA" w:rsidRDefault="007C1FDA" w:rsidP="007C1FDA">
      <w:pPr>
        <w:spacing w:after="0" w:line="240" w:lineRule="auto"/>
        <w:rPr>
          <w:rFonts w:ascii="Tahoma" w:eastAsia="Times New Roman" w:hAnsi="Tahoma" w:cs="Tahoma"/>
          <w:b/>
          <w:sz w:val="21"/>
          <w:szCs w:val="21"/>
          <w:lang w:val="es-ES" w:eastAsia="es-ES"/>
        </w:rPr>
      </w:pPr>
    </w:p>
    <w:p w:rsidR="007C1FDA" w:rsidRPr="007C1FDA" w:rsidRDefault="007C1FDA" w:rsidP="007C1FDA">
      <w:pPr>
        <w:spacing w:after="0" w:line="240" w:lineRule="auto"/>
        <w:ind w:firstLine="708"/>
        <w:rPr>
          <w:rFonts w:ascii="Tahoma" w:eastAsia="Times New Roman" w:hAnsi="Tahoma" w:cs="Tahoma"/>
          <w:b/>
          <w:sz w:val="21"/>
          <w:szCs w:val="21"/>
          <w:lang w:val="es-ES" w:eastAsia="es-ES"/>
        </w:rPr>
      </w:pPr>
      <w:r w:rsidRPr="007C1FDA">
        <w:rPr>
          <w:rFonts w:ascii="Tahoma" w:eastAsia="Times New Roman" w:hAnsi="Tahoma" w:cs="Tahoma"/>
          <w:b/>
          <w:sz w:val="21"/>
          <w:szCs w:val="21"/>
          <w:lang w:val="es-ES" w:eastAsia="es-ES"/>
        </w:rPr>
        <w:t>ANTECEDENTES:</w:t>
      </w:r>
    </w:p>
    <w:p w:rsidR="007C1FDA" w:rsidRPr="007C1FDA" w:rsidRDefault="007C1FDA" w:rsidP="007C1FDA">
      <w:pPr>
        <w:spacing w:after="0" w:line="240" w:lineRule="auto"/>
        <w:ind w:firstLine="708"/>
        <w:rPr>
          <w:rFonts w:ascii="Tahoma" w:eastAsia="Times New Roman" w:hAnsi="Tahoma" w:cs="Tahoma"/>
          <w:b/>
          <w:sz w:val="21"/>
          <w:szCs w:val="21"/>
          <w:lang w:val="es-ES" w:eastAsia="es-ES"/>
        </w:rPr>
      </w:pPr>
    </w:p>
    <w:p w:rsidR="007C1FDA" w:rsidRPr="007C1FDA" w:rsidRDefault="007C1FDA" w:rsidP="007C1FDA">
      <w:pPr>
        <w:numPr>
          <w:ilvl w:val="0"/>
          <w:numId w:val="8"/>
        </w:numPr>
        <w:spacing w:after="0" w:line="240" w:lineRule="auto"/>
        <w:ind w:left="567" w:hanging="567"/>
        <w:contextualSpacing/>
        <w:jc w:val="both"/>
        <w:rPr>
          <w:rFonts w:ascii="Tahoma" w:eastAsia="Times New Roman" w:hAnsi="Tahoma" w:cs="Tahoma"/>
          <w:lang w:val="es-ES_tradnl" w:eastAsia="es-ES"/>
        </w:rPr>
      </w:pPr>
      <w:r w:rsidRPr="007C1FDA">
        <w:rPr>
          <w:rFonts w:ascii="Tahoma" w:eastAsia="Times New Roman" w:hAnsi="Tahoma" w:cs="Tahoma"/>
          <w:lang w:val="es-ES_tradnl" w:eastAsia="es-ES"/>
        </w:rPr>
        <w:t xml:space="preserve">El 16 de Marzo de 2011, </w:t>
      </w:r>
      <w:r w:rsidRPr="007C1FDA">
        <w:rPr>
          <w:rFonts w:ascii="Tahoma" w:eastAsia="Times New Roman" w:hAnsi="Tahoma" w:cs="Tahoma"/>
          <w:lang w:val="es-ES" w:eastAsia="es-ES"/>
        </w:rPr>
        <w:t>PETROLEOS DEL PERU S.A.</w:t>
      </w:r>
      <w:r w:rsidRPr="007C1FDA">
        <w:rPr>
          <w:rFonts w:ascii="Tahoma" w:eastAsia="Times New Roman" w:hAnsi="Tahoma" w:cs="Tahoma"/>
          <w:lang w:val="es-ES_tradnl" w:eastAsia="es-ES"/>
        </w:rPr>
        <w:t>, en adelante la Entidad, comunicó al Tribunal de Contrataciones del Estado, en adelante el Tribunal, que la empresa CONTEMAR S.A.C., habría incurrido en causal de sanción al haber participado en el Proceso por Competencia Menor Nº CME-0121-2009-OFP/PETROPERÚ, sin contar con inscripción vigente en el RNP; y por haber presentado como parte de su propuesta técnica, la Declaración Jurada de Cumplimiento de fecha 15 de Diciembre de 2009, documento supuestamente falso o inexacto presentado para el proceso de selección antes mencionado, en mérito a los siguientes fundamentos:</w:t>
      </w:r>
    </w:p>
    <w:p w:rsidR="007C1FDA" w:rsidRPr="007C1FDA" w:rsidRDefault="007C1FDA" w:rsidP="007C1FDA">
      <w:pPr>
        <w:tabs>
          <w:tab w:val="left" w:pos="1134"/>
        </w:tabs>
        <w:spacing w:after="0" w:line="240" w:lineRule="auto"/>
        <w:contextualSpacing/>
        <w:jc w:val="both"/>
        <w:rPr>
          <w:rFonts w:ascii="Tahoma" w:eastAsia="Times New Roman" w:hAnsi="Tahoma" w:cs="Tahoma"/>
          <w:lang w:val="es-ES_tradnl" w:eastAsia="es-ES"/>
        </w:rPr>
      </w:pPr>
    </w:p>
    <w:p w:rsidR="007C1FDA" w:rsidRPr="007C1FDA" w:rsidRDefault="007C1FDA" w:rsidP="007C1FDA">
      <w:pPr>
        <w:numPr>
          <w:ilvl w:val="0"/>
          <w:numId w:val="9"/>
        </w:numPr>
        <w:tabs>
          <w:tab w:val="left" w:pos="1134"/>
        </w:tabs>
        <w:spacing w:after="0" w:line="240" w:lineRule="auto"/>
        <w:ind w:left="1134" w:hanging="567"/>
        <w:contextualSpacing/>
        <w:jc w:val="both"/>
        <w:rPr>
          <w:rFonts w:ascii="Tahoma" w:eastAsia="Times New Roman" w:hAnsi="Tahoma" w:cs="Tahoma"/>
          <w:lang w:val="es-ES_tradnl" w:eastAsia="es-ES"/>
        </w:rPr>
      </w:pPr>
      <w:r w:rsidRPr="007C1FDA">
        <w:rPr>
          <w:rFonts w:ascii="Tahoma" w:eastAsia="Times New Roman" w:hAnsi="Tahoma" w:cs="Tahoma"/>
          <w:lang w:val="es-ES_tradnl" w:eastAsia="es-ES"/>
        </w:rPr>
        <w:t>Como resultado del proceso de contratación por Competencia Menor Nº CME-0121-2009-OFP/PETROPERÚ, para la contratación del servicio de Inspectoría de carga/descarga de hidrocarburos líquidos a granel de Bap Zorritos o sustituto en la ruta de cabotaje, en los terminales del litoral, resulto ganador de la Buena Pro, la empresa DERI-PETROL S.A.C., el acto de otorgamiento de la buena pro se llevó a efecto el 22 de Diciembre de 2009.</w:t>
      </w:r>
    </w:p>
    <w:p w:rsidR="007C1FDA" w:rsidRPr="007C1FDA" w:rsidRDefault="007C1FDA" w:rsidP="007C1FDA">
      <w:pPr>
        <w:tabs>
          <w:tab w:val="left" w:pos="1134"/>
        </w:tabs>
        <w:spacing w:after="0" w:line="240" w:lineRule="auto"/>
        <w:ind w:left="1134"/>
        <w:contextualSpacing/>
        <w:jc w:val="both"/>
        <w:rPr>
          <w:rFonts w:ascii="Tahoma" w:eastAsia="Times New Roman" w:hAnsi="Tahoma" w:cs="Tahoma"/>
          <w:lang w:val="es-ES_tradnl" w:eastAsia="es-ES"/>
        </w:rPr>
      </w:pPr>
    </w:p>
    <w:p w:rsidR="007C1FDA" w:rsidRPr="007C1FDA" w:rsidRDefault="007C1FDA" w:rsidP="007C1FDA">
      <w:pPr>
        <w:numPr>
          <w:ilvl w:val="0"/>
          <w:numId w:val="9"/>
        </w:numPr>
        <w:tabs>
          <w:tab w:val="left" w:pos="1134"/>
        </w:tabs>
        <w:spacing w:after="0" w:line="240" w:lineRule="auto"/>
        <w:ind w:left="1134" w:hanging="567"/>
        <w:contextualSpacing/>
        <w:jc w:val="both"/>
        <w:rPr>
          <w:rFonts w:ascii="Tahoma" w:eastAsia="Times New Roman" w:hAnsi="Tahoma" w:cs="Tahoma"/>
          <w:lang w:val="es-ES_tradnl" w:eastAsia="es-ES"/>
        </w:rPr>
      </w:pPr>
      <w:r w:rsidRPr="007C1FDA">
        <w:rPr>
          <w:rFonts w:ascii="Tahoma" w:eastAsia="Times New Roman" w:hAnsi="Tahoma" w:cs="Tahoma"/>
          <w:lang w:val="es-ES_tradnl" w:eastAsia="es-ES"/>
        </w:rPr>
        <w:lastRenderedPageBreak/>
        <w:t>El 11 de noviembre de 2009, se registró en el Sistema Electrónico de Adquisiciones y Contrataciones del Estado (SEACE), el proceso por Competencia Menor Nº CME-0121-2009-OFP/PETROPERÚ, para la contratación del servicio de Inspectoría de carga/descarga de hidrocarburos líquidos a granel de Bap Zorritos o sustituto en la ruta de cabotaje, en los terminales del litoral, por un valor referencial de US$ 326, 771.20, incluido IGV.</w:t>
      </w:r>
    </w:p>
    <w:p w:rsidR="007C1FDA" w:rsidRPr="007C1FDA" w:rsidRDefault="007C1FDA" w:rsidP="007C1FDA">
      <w:pPr>
        <w:spacing w:after="0" w:line="240" w:lineRule="auto"/>
        <w:ind w:left="720"/>
        <w:contextualSpacing/>
        <w:rPr>
          <w:rFonts w:ascii="Tahoma" w:eastAsia="Times New Roman" w:hAnsi="Tahoma" w:cs="Tahoma"/>
          <w:lang w:val="es-ES_tradnl" w:eastAsia="es-ES"/>
        </w:rPr>
      </w:pPr>
    </w:p>
    <w:p w:rsidR="007C1FDA" w:rsidRPr="007C1FDA" w:rsidRDefault="007C1FDA" w:rsidP="007C1FDA">
      <w:pPr>
        <w:numPr>
          <w:ilvl w:val="0"/>
          <w:numId w:val="9"/>
        </w:numPr>
        <w:tabs>
          <w:tab w:val="left" w:pos="1134"/>
        </w:tabs>
        <w:spacing w:after="0" w:line="240" w:lineRule="auto"/>
        <w:ind w:left="1134" w:hanging="567"/>
        <w:contextualSpacing/>
        <w:jc w:val="both"/>
        <w:rPr>
          <w:rFonts w:ascii="Tahoma" w:eastAsia="Times New Roman" w:hAnsi="Tahoma" w:cs="Tahoma"/>
          <w:lang w:val="es-ES_tradnl" w:eastAsia="es-ES"/>
        </w:rPr>
      </w:pPr>
      <w:r w:rsidRPr="007C1FDA">
        <w:rPr>
          <w:rFonts w:ascii="Tahoma" w:eastAsia="Times New Roman" w:hAnsi="Tahoma" w:cs="Tahoma"/>
          <w:lang w:val="es-ES_tradnl" w:eastAsia="es-ES"/>
        </w:rPr>
        <w:t>El 15 de Noviembre de 2009, se presentaron las propuestas técnicas y económicas de los cinco (5) postores: MARCONSULT S.A.C., DERIPETROL S.A.C., INTERTEK TESTING SERVICE PERÚ S.A., SAYBOLT PERÚ S.A.C., SGS DEL PERÚ S.A.C., y CONTEMAR S.A.C.</w:t>
      </w:r>
    </w:p>
    <w:p w:rsidR="007C1FDA" w:rsidRPr="007C1FDA" w:rsidRDefault="007C1FDA" w:rsidP="007C1FDA">
      <w:pPr>
        <w:spacing w:after="0" w:line="240" w:lineRule="auto"/>
        <w:ind w:left="720"/>
        <w:contextualSpacing/>
        <w:rPr>
          <w:rFonts w:ascii="Tahoma" w:eastAsia="Times New Roman" w:hAnsi="Tahoma" w:cs="Tahoma"/>
          <w:lang w:val="es-ES_tradnl" w:eastAsia="es-ES"/>
        </w:rPr>
      </w:pPr>
    </w:p>
    <w:p w:rsidR="007C1FDA" w:rsidRPr="007C1FDA" w:rsidRDefault="007C1FDA" w:rsidP="007C1FDA">
      <w:pPr>
        <w:numPr>
          <w:ilvl w:val="0"/>
          <w:numId w:val="9"/>
        </w:numPr>
        <w:tabs>
          <w:tab w:val="left" w:pos="1134"/>
        </w:tabs>
        <w:spacing w:after="0" w:line="240" w:lineRule="auto"/>
        <w:ind w:left="1134" w:hanging="567"/>
        <w:contextualSpacing/>
        <w:jc w:val="both"/>
        <w:rPr>
          <w:rFonts w:ascii="Tahoma" w:eastAsia="Times New Roman" w:hAnsi="Tahoma" w:cs="Tahoma"/>
          <w:lang w:val="es-ES_tradnl" w:eastAsia="es-ES"/>
        </w:rPr>
      </w:pPr>
      <w:r w:rsidRPr="007C1FDA">
        <w:rPr>
          <w:rFonts w:ascii="Tahoma" w:eastAsia="Times New Roman" w:hAnsi="Tahoma" w:cs="Tahoma"/>
          <w:lang w:val="es-ES_tradnl" w:eastAsia="es-ES"/>
        </w:rPr>
        <w:t>Según lo informado por la Unidad de Contrataciones, el 15 de Noviembre de 2009, se efectuó las consultas RUC, así como las consultas en el Registro Nacional de Proveedores, en la página web del OSCE, a cada uno de los postores mencionados, indicando tal Base de Datos RNP, que a la empresa CONTEMAR S.A.C., no contaba con inscripción electrónica vigente en el Registro Nacional de Proveedores. Además se observó que en la misma fecha la empresa CONTEMAR S.A.C., había presentado, adjuntó a su propuesta técnica una declaración jurada de cumplimiento respecto a su inscripción electrónica vigente en el Registro Nacional de Proveedores del OSCE.</w:t>
      </w:r>
    </w:p>
    <w:p w:rsidR="007C1FDA" w:rsidRPr="007C1FDA" w:rsidRDefault="007C1FDA" w:rsidP="007C1FDA">
      <w:pPr>
        <w:spacing w:after="0" w:line="240" w:lineRule="auto"/>
        <w:ind w:left="720"/>
        <w:contextualSpacing/>
        <w:rPr>
          <w:rFonts w:ascii="Tahoma" w:eastAsia="Times New Roman" w:hAnsi="Tahoma" w:cs="Tahoma"/>
          <w:lang w:val="es-ES_tradnl" w:eastAsia="es-ES"/>
        </w:rPr>
      </w:pPr>
    </w:p>
    <w:p w:rsidR="007C1FDA" w:rsidRPr="007C1FDA" w:rsidRDefault="007C1FDA" w:rsidP="007C1FDA">
      <w:pPr>
        <w:numPr>
          <w:ilvl w:val="0"/>
          <w:numId w:val="9"/>
        </w:numPr>
        <w:tabs>
          <w:tab w:val="left" w:pos="1134"/>
        </w:tabs>
        <w:spacing w:after="0" w:line="240" w:lineRule="auto"/>
        <w:ind w:left="1134" w:hanging="567"/>
        <w:contextualSpacing/>
        <w:jc w:val="both"/>
        <w:rPr>
          <w:rFonts w:ascii="Tahoma" w:eastAsia="Times New Roman" w:hAnsi="Tahoma" w:cs="Tahoma"/>
          <w:lang w:val="es-ES_tradnl" w:eastAsia="es-ES"/>
        </w:rPr>
      </w:pPr>
      <w:r w:rsidRPr="007C1FDA">
        <w:rPr>
          <w:rFonts w:ascii="Tahoma" w:eastAsia="Times New Roman" w:hAnsi="Tahoma" w:cs="Tahoma"/>
          <w:lang w:val="es-ES_tradnl" w:eastAsia="es-ES"/>
        </w:rPr>
        <w:t>Asimismo, se informa que con el fin de conocer la verdad material, y de hacer uso del derecho de verificación; a efectos de poder calificar objetivamente el contenido de la documentación materia de controversia, PETROPERÚ S.A., consulta tal información al Registro Nacional de Proveedores – RNP, indicando este, como resultado que su estado de inscripción se encontraba suspendida hasta la regularizar la presentación de los requisitos o subsanar las observaciones pendientes; en consecuencia a la fecha de presentación de propuestas (15 de Noviembre de 2009), la información contenida en la propuesta técnica (Declaración Jurada de Cumplimiento) del postor CONSULTORES TÉCNICOS Y MARÍTIMOS – CONTEMAR S.A.C., era supuestamente falsa, por lo que fue descalificada formalmente el 22 de Diciembre del 2009, fecha en la cual, se suscribe el acta de recepción, apertura, evaluación de propuestas y otorgamiento de Buena Pro del proceso por Competencia Menor Nº CME-0121-2009-OFP/PETROPERÚ.</w:t>
      </w:r>
    </w:p>
    <w:p w:rsidR="007C1FDA" w:rsidRPr="007C1FDA" w:rsidRDefault="007C1FDA" w:rsidP="007C1FDA">
      <w:pPr>
        <w:spacing w:after="0" w:line="240" w:lineRule="auto"/>
        <w:ind w:left="720"/>
        <w:contextualSpacing/>
        <w:rPr>
          <w:rFonts w:ascii="Tahoma" w:eastAsia="Times New Roman" w:hAnsi="Tahoma" w:cs="Tahoma"/>
          <w:lang w:val="es-ES_tradnl" w:eastAsia="es-ES"/>
        </w:rPr>
      </w:pPr>
      <w:r w:rsidRPr="007C1FDA">
        <w:rPr>
          <w:rFonts w:ascii="Tahoma" w:eastAsia="Times New Roman" w:hAnsi="Tahoma" w:cs="Tahoma"/>
          <w:lang w:val="es-ES_tradnl" w:eastAsia="es-ES"/>
        </w:rPr>
        <w:t xml:space="preserve">      (…)</w:t>
      </w:r>
    </w:p>
    <w:p w:rsidR="007C1FDA" w:rsidRPr="007C1FDA" w:rsidRDefault="007C1FDA" w:rsidP="007C1FDA">
      <w:pPr>
        <w:numPr>
          <w:ilvl w:val="0"/>
          <w:numId w:val="9"/>
        </w:numPr>
        <w:tabs>
          <w:tab w:val="left" w:pos="1134"/>
        </w:tabs>
        <w:spacing w:after="0" w:line="240" w:lineRule="auto"/>
        <w:ind w:left="1134" w:hanging="567"/>
        <w:contextualSpacing/>
        <w:jc w:val="both"/>
        <w:rPr>
          <w:rFonts w:ascii="Tahoma" w:eastAsia="Times New Roman" w:hAnsi="Tahoma" w:cs="Tahoma"/>
          <w:lang w:val="es-ES_tradnl" w:eastAsia="es-ES"/>
        </w:rPr>
      </w:pPr>
      <w:r w:rsidRPr="007C1FDA">
        <w:rPr>
          <w:rFonts w:ascii="Tahoma" w:eastAsia="Times New Roman" w:hAnsi="Tahoma" w:cs="Tahoma"/>
          <w:lang w:val="es-ES_tradnl" w:eastAsia="es-ES"/>
        </w:rPr>
        <w:t xml:space="preserve">Asimismo, el segundo párrafo del numeral 5.8 del Reglamento, prescribe: “De comprobarse el incumplimiento de las disposiciones contenidas en el Reglamento, se aplicará la sanción que corresponda.., o de ser el caso se </w:t>
      </w:r>
      <w:r w:rsidRPr="007C1FDA">
        <w:rPr>
          <w:rFonts w:ascii="Tahoma" w:eastAsia="Times New Roman" w:hAnsi="Tahoma" w:cs="Tahoma"/>
          <w:lang w:val="es-ES_tradnl" w:eastAsia="es-ES"/>
        </w:rPr>
        <w:lastRenderedPageBreak/>
        <w:t>comunicará al Tribunal de Contrataciones y Adquisiciones del Estado”. En consecuencia, es aplicable al presente proceso. Las normas que regulan el procedimiento sancionador, propias de las Contrataciones del Estado; específicamente, las contenidas en el Decreto Legislativo 1017 y el Decreto Supremo Nº 184-2008-EF, respectivamente; por lo cual en estos casos, PETROPERÚ S.A., es considerada como Entidad.</w:t>
      </w:r>
    </w:p>
    <w:p w:rsidR="007C1FDA" w:rsidRPr="007C1FDA" w:rsidRDefault="007C1FDA" w:rsidP="007C1FDA">
      <w:pPr>
        <w:tabs>
          <w:tab w:val="left" w:pos="1134"/>
        </w:tabs>
        <w:spacing w:after="0" w:line="240" w:lineRule="auto"/>
        <w:ind w:left="1134"/>
        <w:contextualSpacing/>
        <w:jc w:val="both"/>
        <w:rPr>
          <w:rFonts w:ascii="Tahoma" w:eastAsia="Times New Roman" w:hAnsi="Tahoma" w:cs="Tahoma"/>
          <w:lang w:val="es-ES_tradnl" w:eastAsia="es-ES"/>
        </w:rPr>
      </w:pPr>
      <w:r w:rsidRPr="007C1FDA">
        <w:rPr>
          <w:rFonts w:ascii="Tahoma" w:eastAsia="Times New Roman" w:hAnsi="Tahoma" w:cs="Tahoma"/>
          <w:lang w:val="es-ES_tradnl" w:eastAsia="es-ES"/>
        </w:rPr>
        <w:t>(…)</w:t>
      </w:r>
    </w:p>
    <w:p w:rsidR="007C1FDA" w:rsidRPr="007C1FDA" w:rsidRDefault="007C1FDA" w:rsidP="007C1FDA">
      <w:pPr>
        <w:numPr>
          <w:ilvl w:val="0"/>
          <w:numId w:val="9"/>
        </w:numPr>
        <w:tabs>
          <w:tab w:val="left" w:pos="1134"/>
        </w:tabs>
        <w:spacing w:after="0" w:line="240" w:lineRule="auto"/>
        <w:ind w:left="1134" w:hanging="567"/>
        <w:contextualSpacing/>
        <w:jc w:val="both"/>
        <w:rPr>
          <w:rFonts w:ascii="Tahoma" w:eastAsia="Times New Roman" w:hAnsi="Tahoma" w:cs="Tahoma"/>
          <w:lang w:val="es-ES_tradnl" w:eastAsia="es-ES"/>
        </w:rPr>
      </w:pPr>
      <w:r w:rsidRPr="007C1FDA">
        <w:rPr>
          <w:rFonts w:ascii="Tahoma" w:eastAsia="Times New Roman" w:hAnsi="Tahoma" w:cs="Tahoma"/>
          <w:lang w:val="es-ES_tradnl" w:eastAsia="es-ES"/>
        </w:rPr>
        <w:t>De acuerdo a la documentación recibida, el postor CONSULTORES TÉCNICOS Y MARÍTIMOS – CONTEMAR S.A.C., participante del proceso de contratación por Competencia Menor Nº CME-0121-2009-OFP/PETROPERÚ para la contratación del servicio de Inspectoría de carga/descarga de hidrocarburos líquido a granel de Bap Zorritos o sustituto en la ruta de cabotaje, en los terminales del litoral, declaró en su propuesta técnica (Declaración Jurada de Cumplimiento), de folio 01, en los literales d) y g), lo siguiente:</w:t>
      </w:r>
    </w:p>
    <w:p w:rsidR="007C1FDA" w:rsidRPr="007C1FDA" w:rsidRDefault="007C1FDA" w:rsidP="007C1FDA">
      <w:pPr>
        <w:tabs>
          <w:tab w:val="left" w:pos="1134"/>
        </w:tabs>
        <w:spacing w:after="0" w:line="240" w:lineRule="auto"/>
        <w:ind w:left="1134"/>
        <w:contextualSpacing/>
        <w:jc w:val="both"/>
        <w:rPr>
          <w:rFonts w:ascii="Tahoma" w:eastAsia="Times New Roman" w:hAnsi="Tahoma" w:cs="Tahoma"/>
          <w:lang w:val="es-ES_tradnl" w:eastAsia="es-ES"/>
        </w:rPr>
      </w:pPr>
    </w:p>
    <w:p w:rsidR="007C1FDA" w:rsidRPr="007C1FDA" w:rsidRDefault="007C1FDA" w:rsidP="007C1FDA">
      <w:pPr>
        <w:tabs>
          <w:tab w:val="left" w:pos="1134"/>
        </w:tabs>
        <w:spacing w:after="0" w:line="240" w:lineRule="auto"/>
        <w:ind w:left="1134"/>
        <w:contextualSpacing/>
        <w:jc w:val="both"/>
        <w:rPr>
          <w:rFonts w:ascii="Tahoma" w:eastAsia="Times New Roman" w:hAnsi="Tahoma" w:cs="Tahoma"/>
          <w:lang w:val="es-ES_tradnl" w:eastAsia="es-ES"/>
        </w:rPr>
      </w:pPr>
      <w:r w:rsidRPr="007C1FDA">
        <w:rPr>
          <w:rFonts w:ascii="Tahoma" w:eastAsia="Times New Roman" w:hAnsi="Tahoma" w:cs="Tahoma"/>
          <w:lang w:val="es-ES_tradnl" w:eastAsia="es-ES"/>
        </w:rPr>
        <w:t>d) somos responsables de la veracidad de los documentos e información que presentamos para efectos del proceso (…)</w:t>
      </w:r>
    </w:p>
    <w:p w:rsidR="007C1FDA" w:rsidRPr="007C1FDA" w:rsidRDefault="007C1FDA" w:rsidP="007C1FDA">
      <w:pPr>
        <w:tabs>
          <w:tab w:val="left" w:pos="1134"/>
        </w:tabs>
        <w:spacing w:after="0" w:line="240" w:lineRule="auto"/>
        <w:ind w:left="1134"/>
        <w:contextualSpacing/>
        <w:jc w:val="both"/>
        <w:rPr>
          <w:rFonts w:ascii="Tahoma" w:eastAsia="Times New Roman" w:hAnsi="Tahoma" w:cs="Tahoma"/>
          <w:lang w:val="es-ES_tradnl" w:eastAsia="es-ES"/>
        </w:rPr>
      </w:pPr>
    </w:p>
    <w:p w:rsidR="007C1FDA" w:rsidRPr="007C1FDA" w:rsidRDefault="007C1FDA" w:rsidP="007C1FDA">
      <w:pPr>
        <w:tabs>
          <w:tab w:val="left" w:pos="1134"/>
        </w:tabs>
        <w:spacing w:after="0" w:line="240" w:lineRule="auto"/>
        <w:ind w:left="1134"/>
        <w:contextualSpacing/>
        <w:jc w:val="both"/>
        <w:rPr>
          <w:rFonts w:ascii="Tahoma" w:eastAsia="Times New Roman" w:hAnsi="Tahoma" w:cs="Tahoma"/>
          <w:lang w:val="es-ES_tradnl" w:eastAsia="es-ES"/>
        </w:rPr>
      </w:pPr>
      <w:r w:rsidRPr="007C1FDA">
        <w:rPr>
          <w:rFonts w:ascii="Tahoma" w:eastAsia="Times New Roman" w:hAnsi="Tahoma" w:cs="Tahoma"/>
          <w:lang w:val="es-ES_tradnl" w:eastAsia="es-ES"/>
        </w:rPr>
        <w:t>g) Contamos con inscripción electrónica vigente en el Registro Nacional de Proveedores del OSCE, como proveedor de servicios con el número de inscripción S0000854.</w:t>
      </w:r>
    </w:p>
    <w:p w:rsidR="007C1FDA" w:rsidRPr="007C1FDA" w:rsidRDefault="007C1FDA" w:rsidP="007C1FDA">
      <w:pPr>
        <w:tabs>
          <w:tab w:val="left" w:pos="1134"/>
        </w:tabs>
        <w:spacing w:after="0" w:line="240" w:lineRule="auto"/>
        <w:ind w:left="1134"/>
        <w:contextualSpacing/>
        <w:jc w:val="both"/>
        <w:rPr>
          <w:rFonts w:ascii="Tahoma" w:eastAsia="Times New Roman" w:hAnsi="Tahoma" w:cs="Tahoma"/>
          <w:lang w:val="es-ES_tradnl" w:eastAsia="es-ES"/>
        </w:rPr>
      </w:pPr>
    </w:p>
    <w:p w:rsidR="007C1FDA" w:rsidRPr="007C1FDA" w:rsidRDefault="007C1FDA" w:rsidP="007C1FDA">
      <w:pPr>
        <w:numPr>
          <w:ilvl w:val="0"/>
          <w:numId w:val="9"/>
        </w:numPr>
        <w:tabs>
          <w:tab w:val="left" w:pos="1134"/>
        </w:tabs>
        <w:spacing w:after="0" w:line="240" w:lineRule="auto"/>
        <w:ind w:left="1134" w:hanging="567"/>
        <w:contextualSpacing/>
        <w:jc w:val="both"/>
        <w:rPr>
          <w:rFonts w:ascii="Tahoma" w:eastAsia="Times New Roman" w:hAnsi="Tahoma" w:cs="Tahoma"/>
          <w:lang w:val="es-ES_tradnl" w:eastAsia="es-ES"/>
        </w:rPr>
      </w:pPr>
      <w:r w:rsidRPr="007C1FDA">
        <w:rPr>
          <w:rFonts w:ascii="Tahoma" w:eastAsia="Times New Roman" w:hAnsi="Tahoma" w:cs="Tahoma"/>
          <w:lang w:val="es-ES_tradnl" w:eastAsia="es-ES"/>
        </w:rPr>
        <w:t>Sin embargo, al realizarse el control respectivo de dicha información, según lo establecido en el numeral 17 del anexo 1 del Reglamento de Adquisiciones y Contrataciones de PETROPERÚ S.A., resulta que la información presentada en tal declaración jurada de cumplimiento parte de la propuesta técnica, no se ajustaba a la verdad, toda vez que no se encontraba con inscripción vigente en el RNP, como declaró en tal documento. En tal sentido, se infiere que la información proporcionada por dicho postor era inexacta; por lo que su conducta sería pasible de las acciones previstas en el Reglamento de Contrataciones y Adquisiciones del Estado, analizados en el presente informe.</w:t>
      </w:r>
    </w:p>
    <w:p w:rsidR="007C1FDA" w:rsidRPr="007C1FDA" w:rsidRDefault="007C1FDA" w:rsidP="007C1FDA">
      <w:pPr>
        <w:tabs>
          <w:tab w:val="left" w:pos="1134"/>
        </w:tabs>
        <w:spacing w:after="0" w:line="240" w:lineRule="auto"/>
        <w:ind w:left="1134"/>
        <w:contextualSpacing/>
        <w:jc w:val="both"/>
        <w:rPr>
          <w:rFonts w:ascii="Tahoma" w:eastAsia="Times New Roman" w:hAnsi="Tahoma" w:cs="Tahoma"/>
          <w:lang w:val="es-ES_tradnl" w:eastAsia="es-ES"/>
        </w:rPr>
      </w:pPr>
    </w:p>
    <w:p w:rsidR="007C1FDA" w:rsidRPr="007C1FDA" w:rsidRDefault="007C1FDA" w:rsidP="007C1FDA">
      <w:pPr>
        <w:numPr>
          <w:ilvl w:val="0"/>
          <w:numId w:val="9"/>
        </w:numPr>
        <w:tabs>
          <w:tab w:val="left" w:pos="1134"/>
        </w:tabs>
        <w:spacing w:after="0" w:line="240" w:lineRule="auto"/>
        <w:ind w:left="1134" w:hanging="567"/>
        <w:contextualSpacing/>
        <w:jc w:val="both"/>
        <w:rPr>
          <w:rFonts w:ascii="Tahoma" w:eastAsia="Times New Roman" w:hAnsi="Tahoma" w:cs="Tahoma"/>
          <w:lang w:val="es-ES_tradnl" w:eastAsia="es-ES"/>
        </w:rPr>
      </w:pPr>
      <w:r w:rsidRPr="007C1FDA">
        <w:rPr>
          <w:rFonts w:ascii="Tahoma" w:eastAsia="Times New Roman" w:hAnsi="Tahoma" w:cs="Tahoma"/>
          <w:lang w:val="es-ES_tradnl" w:eastAsia="es-ES"/>
        </w:rPr>
        <w:t>En consecuencia, existiendo la obligación de informar al Tribunal de Contrataciones sobre las supuestas inconductas de los postores en los procesos de contratación que realiza PETROPERÚ S.A.; de conformidad  con lo señalado en el artículo 237º del Reglamento de la Ley de Contrataciones del Estado, somos de la opinión que se informe a dicho Tribunal para el inicio del procedimiento administrativo sancionador. (…)” (SIC).</w:t>
      </w:r>
    </w:p>
    <w:p w:rsidR="007C1FDA" w:rsidRPr="007C1FDA" w:rsidRDefault="007C1FDA" w:rsidP="007C1FDA">
      <w:pPr>
        <w:tabs>
          <w:tab w:val="left" w:pos="1134"/>
        </w:tabs>
        <w:spacing w:after="0" w:line="240" w:lineRule="auto"/>
        <w:ind w:left="1134"/>
        <w:contextualSpacing/>
        <w:jc w:val="both"/>
        <w:rPr>
          <w:rFonts w:ascii="Tahoma" w:eastAsia="Times New Roman" w:hAnsi="Tahoma" w:cs="Tahoma"/>
          <w:lang w:val="es-ES_tradnl" w:eastAsia="es-ES"/>
        </w:rPr>
      </w:pPr>
    </w:p>
    <w:p w:rsidR="007C1FDA" w:rsidRPr="007C1FDA" w:rsidRDefault="007C1FDA" w:rsidP="007C1FDA">
      <w:pPr>
        <w:numPr>
          <w:ilvl w:val="0"/>
          <w:numId w:val="8"/>
        </w:numPr>
        <w:spacing w:after="0" w:line="240" w:lineRule="auto"/>
        <w:ind w:left="567" w:hanging="567"/>
        <w:contextualSpacing/>
        <w:jc w:val="both"/>
        <w:rPr>
          <w:rFonts w:ascii="Tahoma" w:eastAsia="Times New Roman" w:hAnsi="Tahoma" w:cs="Tahoma"/>
          <w:lang w:val="es-ES_tradnl" w:eastAsia="es-ES"/>
        </w:rPr>
      </w:pPr>
      <w:r w:rsidRPr="007C1FDA">
        <w:rPr>
          <w:rFonts w:ascii="Tahoma" w:eastAsia="Times New Roman" w:hAnsi="Tahoma" w:cs="Tahoma"/>
          <w:lang w:val="es-ES_tradnl" w:eastAsia="es-ES"/>
        </w:rPr>
        <w:lastRenderedPageBreak/>
        <w:t>Mediante decreto de fecha 21 de Marzo del 2011</w:t>
      </w:r>
      <w:r w:rsidRPr="007C1FDA">
        <w:rPr>
          <w:rFonts w:ascii="Tahoma" w:eastAsia="Times New Roman" w:hAnsi="Tahoma" w:cs="Tahoma"/>
          <w:vertAlign w:val="superscript"/>
          <w:lang w:val="es-ES_tradnl" w:eastAsia="es-ES"/>
        </w:rPr>
        <w:footnoteReference w:id="2"/>
      </w:r>
      <w:r w:rsidRPr="007C1FDA">
        <w:rPr>
          <w:rFonts w:ascii="Tahoma" w:eastAsia="Times New Roman" w:hAnsi="Tahoma" w:cs="Tahoma"/>
          <w:lang w:val="es-ES_tradnl" w:eastAsia="es-ES"/>
        </w:rPr>
        <w:t>, previo al inicio de procedimiento sancionador,  se solicitó a la Entidad, cumpla con subsanar su comunicación, debiendo adjuntar un informe complementario de su asesoría en el que se pronuncie respecto a la posible causal de sanción en la que habría incurrido la empresa CONTEMAR S.A.C., toda vez que de la documentación e información remitida se advierte que no sólo habría incurrido en responsabilidad según lo previsto en el literal i) numeral 1 del artículo 51 de la Ley de Contrataciones del Estado, sino también en la causal prevista en el literal e) de la norma precitada.</w:t>
      </w:r>
    </w:p>
    <w:p w:rsidR="007C1FDA" w:rsidRPr="007C1FDA" w:rsidRDefault="007C1FDA" w:rsidP="007C1FDA">
      <w:pPr>
        <w:spacing w:after="0" w:line="240" w:lineRule="auto"/>
        <w:ind w:left="567"/>
        <w:contextualSpacing/>
        <w:jc w:val="both"/>
        <w:rPr>
          <w:rFonts w:ascii="Tahoma" w:eastAsia="Times New Roman" w:hAnsi="Tahoma" w:cs="Tahoma"/>
          <w:lang w:val="es-ES_tradnl" w:eastAsia="es-ES"/>
        </w:rPr>
      </w:pPr>
    </w:p>
    <w:p w:rsidR="007C1FDA" w:rsidRPr="007C1FDA" w:rsidRDefault="007C1FDA" w:rsidP="007C1FDA">
      <w:pPr>
        <w:numPr>
          <w:ilvl w:val="0"/>
          <w:numId w:val="8"/>
        </w:numPr>
        <w:spacing w:after="0" w:line="240" w:lineRule="auto"/>
        <w:ind w:left="567" w:hanging="567"/>
        <w:contextualSpacing/>
        <w:jc w:val="both"/>
        <w:rPr>
          <w:rFonts w:ascii="Tahoma" w:eastAsia="Times New Roman" w:hAnsi="Tahoma" w:cs="Tahoma"/>
          <w:lang w:val="es-ES_tradnl" w:eastAsia="es-ES"/>
        </w:rPr>
      </w:pPr>
      <w:r w:rsidRPr="007C1FDA">
        <w:rPr>
          <w:rFonts w:ascii="Tahoma" w:eastAsia="Times New Roman" w:hAnsi="Tahoma" w:cs="Tahoma"/>
          <w:lang w:val="es-ES_tradnl" w:eastAsia="es-ES"/>
        </w:rPr>
        <w:t>Con fecha 20 de Abril de 2011, la Entidad remitió la información solicitada</w:t>
      </w:r>
      <w:r w:rsidRPr="007C1FDA">
        <w:rPr>
          <w:rFonts w:ascii="Tahoma" w:eastAsia="Times New Roman" w:hAnsi="Tahoma" w:cs="Tahoma"/>
          <w:lang w:val="es-ES" w:eastAsia="es-ES"/>
        </w:rPr>
        <w:t>, por lo cual con decreto de fecha 27 de Abril de 2011</w:t>
      </w:r>
      <w:r w:rsidRPr="007C1FDA">
        <w:rPr>
          <w:rFonts w:ascii="Tahoma" w:eastAsia="Times New Roman" w:hAnsi="Tahoma" w:cs="Tahoma"/>
          <w:vertAlign w:val="superscript"/>
          <w:lang w:val="es-ES_tradnl" w:eastAsia="es-ES"/>
        </w:rPr>
        <w:footnoteReference w:id="3"/>
      </w:r>
      <w:r w:rsidRPr="007C1FDA">
        <w:rPr>
          <w:rFonts w:ascii="Tahoma" w:eastAsia="Times New Roman" w:hAnsi="Tahoma" w:cs="Tahoma"/>
          <w:lang w:val="es-ES" w:eastAsia="es-ES"/>
        </w:rPr>
        <w:t>, se inició el  procedimiento administrativo sancionador contra la empresa CONTEMAR S.A.C.</w:t>
      </w:r>
      <w:r w:rsidRPr="007C1FDA">
        <w:rPr>
          <w:rFonts w:ascii="Tahoma" w:eastAsia="Times New Roman" w:hAnsi="Tahoma" w:cs="Tahoma"/>
          <w:lang w:val="es-ES_tradnl" w:eastAsia="es-ES"/>
        </w:rPr>
        <w:t>,</w:t>
      </w:r>
      <w:r w:rsidRPr="007C1FDA">
        <w:rPr>
          <w:rFonts w:ascii="Tahoma" w:eastAsia="Times New Roman" w:hAnsi="Tahoma" w:cs="Tahoma"/>
          <w:lang w:val="es-ES" w:eastAsia="es-ES"/>
        </w:rPr>
        <w:t xml:space="preserve"> por supuesta responsabilidad al haber participado en el Proceso por Competencia Menor Nº CME-0121-2009OFP/PETROPERÚ, sin contar con inscripción vigente en el RNP; y por haber presentado, como parte de su propuesta técnica, la Declaración Jurada de Cumplimiento de fecha 15 de diciembre de 2009, documento supuestamente falso o inexacto presentado para el proceso de selección antes citado, causales tipificadas en los literales e) e i) del numeral 51.1 del artículo 51 de la Ley de Contrataciones del Estado, Decreto Legislativo Nº 1017, en concordancia con los literales e) e i) del numeral 1 del artículo 237 del Reglamento de la Ley de Contrataciones del Estado, aprobado mediante Decreto Supremo Nº 184-2008-EF; y le requirió que en el plazo de diez (10) días hábiles cumpla con presentar sus descargos, bajo apercibimiento de resolver el procedimiento con la documentación obrante en el expediente.</w:t>
      </w:r>
    </w:p>
    <w:p w:rsidR="007C1FDA" w:rsidRPr="007C1FDA" w:rsidRDefault="007C1FDA" w:rsidP="007C1FDA">
      <w:pPr>
        <w:spacing w:after="0" w:line="240" w:lineRule="auto"/>
        <w:ind w:left="567" w:hanging="567"/>
        <w:rPr>
          <w:rFonts w:ascii="Tahoma" w:eastAsia="Times New Roman" w:hAnsi="Tahoma" w:cs="Tahoma"/>
          <w:lang w:val="es-ES_tradnl" w:eastAsia="es-ES"/>
        </w:rPr>
      </w:pPr>
    </w:p>
    <w:p w:rsidR="007C1FDA" w:rsidRPr="007C1FDA" w:rsidRDefault="007C1FDA" w:rsidP="007C1FDA">
      <w:pPr>
        <w:numPr>
          <w:ilvl w:val="0"/>
          <w:numId w:val="8"/>
        </w:numPr>
        <w:spacing w:after="0" w:line="240" w:lineRule="auto"/>
        <w:ind w:left="567" w:hanging="567"/>
        <w:contextualSpacing/>
        <w:jc w:val="both"/>
        <w:rPr>
          <w:rFonts w:ascii="Tahoma" w:eastAsia="Times New Roman" w:hAnsi="Tahoma" w:cs="Tahoma"/>
          <w:lang w:val="es-ES_tradnl" w:eastAsia="es-ES"/>
        </w:rPr>
      </w:pPr>
      <w:r w:rsidRPr="007C1FDA">
        <w:rPr>
          <w:rFonts w:ascii="Tahoma" w:eastAsia="Times New Roman" w:hAnsi="Tahoma" w:cs="Tahoma"/>
          <w:lang w:val="es-ES_tradnl" w:eastAsia="es-ES"/>
        </w:rPr>
        <w:t>Por escrito presentado el 23 de Junio de 2011, la empresa CONTEMAR S.A.C., presentó sus descargos, señalando lo siguiente:</w:t>
      </w:r>
    </w:p>
    <w:p w:rsidR="007C1FDA" w:rsidRPr="007C1FDA" w:rsidRDefault="007C1FDA" w:rsidP="007C1FDA">
      <w:pPr>
        <w:spacing w:after="0" w:line="240" w:lineRule="auto"/>
        <w:ind w:left="708"/>
        <w:rPr>
          <w:rFonts w:ascii="Tahoma" w:eastAsia="Times New Roman" w:hAnsi="Tahoma" w:cs="Tahoma"/>
          <w:lang w:val="es-ES_tradnl" w:eastAsia="es-ES"/>
        </w:rPr>
      </w:pPr>
    </w:p>
    <w:p w:rsidR="007C1FDA" w:rsidRPr="007C1FDA" w:rsidRDefault="007C1FDA" w:rsidP="007C1FDA">
      <w:pPr>
        <w:spacing w:after="0" w:line="240" w:lineRule="auto"/>
        <w:ind w:firstLine="567"/>
        <w:jc w:val="both"/>
        <w:rPr>
          <w:rFonts w:ascii="Tahoma" w:eastAsia="Calibri" w:hAnsi="Tahoma" w:cs="Tahoma"/>
          <w:lang w:val="es-ES"/>
        </w:rPr>
      </w:pPr>
      <w:r w:rsidRPr="007C1FDA">
        <w:rPr>
          <w:rFonts w:ascii="Tahoma" w:eastAsia="Calibri" w:hAnsi="Tahoma" w:cs="Tahoma"/>
          <w:lang w:val="es-ES"/>
        </w:rPr>
        <w:t>“(…)</w:t>
      </w:r>
    </w:p>
    <w:p w:rsidR="007C1FDA" w:rsidRPr="007C1FDA" w:rsidRDefault="007C1FDA" w:rsidP="007C1FDA">
      <w:pPr>
        <w:numPr>
          <w:ilvl w:val="0"/>
          <w:numId w:val="10"/>
        </w:numPr>
        <w:spacing w:after="0" w:line="240" w:lineRule="auto"/>
        <w:ind w:left="1134" w:hanging="567"/>
        <w:jc w:val="both"/>
        <w:rPr>
          <w:rFonts w:ascii="Tahoma" w:eastAsia="Calibri" w:hAnsi="Tahoma" w:cs="Tahoma"/>
          <w:lang w:val="es-ES"/>
        </w:rPr>
      </w:pPr>
      <w:r w:rsidRPr="007C1FDA">
        <w:rPr>
          <w:rFonts w:ascii="Tahoma" w:eastAsia="Calibri" w:hAnsi="Tahoma" w:cs="Tahoma"/>
          <w:lang w:val="es-ES"/>
        </w:rPr>
        <w:t>Señor Presidente, tal como lo acreditamos con la copia del voucher (anexo 4), que adjuntamos al presente, mediante deposito Nº 5484483 pagado en el Banco de la Nación, (comprobante de pago Consejo Superior de Contrataciones y adquisiciones del Estado) por la suma de S/. 2,130.00 (Dos Mil Ciento Treinta y 00/100 Nuevos Soles), mi representada pagó el derecho de renovación y de inscripción con fecha 15 de Octubre de 2009, respectivamente.</w:t>
      </w:r>
    </w:p>
    <w:p w:rsidR="007C1FDA" w:rsidRPr="007C1FDA" w:rsidRDefault="007C1FDA" w:rsidP="007C1FDA">
      <w:pPr>
        <w:spacing w:after="0" w:line="240" w:lineRule="auto"/>
        <w:ind w:left="1134"/>
        <w:jc w:val="both"/>
        <w:rPr>
          <w:rFonts w:ascii="Tahoma" w:eastAsia="Calibri" w:hAnsi="Tahoma" w:cs="Tahoma"/>
          <w:lang w:val="es-ES"/>
        </w:rPr>
      </w:pPr>
    </w:p>
    <w:p w:rsidR="007C1FDA" w:rsidRPr="007C1FDA" w:rsidRDefault="007C1FDA" w:rsidP="007C1FDA">
      <w:pPr>
        <w:numPr>
          <w:ilvl w:val="0"/>
          <w:numId w:val="10"/>
        </w:numPr>
        <w:spacing w:after="0" w:line="240" w:lineRule="auto"/>
        <w:ind w:left="1134" w:hanging="567"/>
        <w:jc w:val="both"/>
        <w:rPr>
          <w:rFonts w:ascii="Tahoma" w:eastAsia="Calibri" w:hAnsi="Tahoma" w:cs="Tahoma"/>
          <w:lang w:val="es-ES"/>
        </w:rPr>
      </w:pPr>
      <w:r w:rsidRPr="007C1FDA">
        <w:rPr>
          <w:rFonts w:ascii="Tahoma" w:eastAsia="Calibri" w:hAnsi="Tahoma" w:cs="Tahoma"/>
          <w:lang w:val="es-ES"/>
        </w:rPr>
        <w:t xml:space="preserve">Posteriormente, con fecha 23 de Octubre del mismo año, presentamos nuestra solicitud de renovación como proveedores de servicios (anexo 5) y al mismo </w:t>
      </w:r>
      <w:r w:rsidRPr="007C1FDA">
        <w:rPr>
          <w:rFonts w:ascii="Tahoma" w:eastAsia="Calibri" w:hAnsi="Tahoma" w:cs="Tahoma"/>
          <w:lang w:val="es-ES"/>
        </w:rPr>
        <w:lastRenderedPageBreak/>
        <w:t xml:space="preserve">tiempo inscripción como Proveedores de Bienes, por eso es </w:t>
      </w:r>
      <w:r w:rsidRPr="007C1FDA">
        <w:rPr>
          <w:rFonts w:ascii="Tahoma" w:eastAsia="Calibri" w:hAnsi="Tahoma" w:cs="Tahoma"/>
          <w:lang w:val="es-ES"/>
        </w:rPr>
        <w:tab/>
        <w:t>que contamos con la Constancia de Proveedores de Bienes (anexo 6) emitido por la OSCE con vigencia del 19 de Octubre de 2009 al 19 de Octubre de 2010. No tuvimos en los sucesivos días posteriores a la renovación e inscripción ninguna comunicación o notificación de observación por parte del organismo correspondiente.</w:t>
      </w:r>
    </w:p>
    <w:p w:rsidR="007C1FDA" w:rsidRPr="007C1FDA" w:rsidRDefault="007C1FDA" w:rsidP="007C1FDA">
      <w:pPr>
        <w:spacing w:after="0" w:line="240" w:lineRule="auto"/>
        <w:ind w:left="720"/>
        <w:contextualSpacing/>
        <w:rPr>
          <w:rFonts w:ascii="Tahoma" w:eastAsia="Calibri" w:hAnsi="Tahoma" w:cs="Tahoma"/>
          <w:lang w:val="es-ES"/>
        </w:rPr>
      </w:pPr>
    </w:p>
    <w:p w:rsidR="007C1FDA" w:rsidRPr="007C1FDA" w:rsidRDefault="007C1FDA" w:rsidP="007C1FDA">
      <w:pPr>
        <w:numPr>
          <w:ilvl w:val="0"/>
          <w:numId w:val="10"/>
        </w:numPr>
        <w:spacing w:after="0" w:line="240" w:lineRule="auto"/>
        <w:ind w:left="1134" w:hanging="567"/>
        <w:jc w:val="both"/>
        <w:rPr>
          <w:rFonts w:ascii="Tahoma" w:eastAsia="Calibri" w:hAnsi="Tahoma" w:cs="Tahoma"/>
          <w:lang w:val="es-ES"/>
        </w:rPr>
      </w:pPr>
      <w:r w:rsidRPr="007C1FDA">
        <w:rPr>
          <w:rFonts w:ascii="Tahoma" w:eastAsia="Calibri" w:hAnsi="Tahoma" w:cs="Tahoma"/>
          <w:lang w:val="es-ES"/>
        </w:rPr>
        <w:t>Señor Presidente, después de casi dos meses de la presentación de la solicitud de renovación e inscripción, la secretaria de la empresa  al revisar el buzón electrónico encontró que la OSCE nos había hecho dos observaciones a saber: i) en información empresarial: se registró como sociedad anónima, debiendo ser sociedad anónima cerrada (SAC); ii) en accionistas y socios: se consideró los siguiente montos: Ofelia del Rosario Correa Ríos por S/. 268, 290.00 debiendo ser S/. 268, 300.00 y Clara del Carmen Correa Ríos por S/. 2, 710.00 debiendo ser S/. 2, 700.00.</w:t>
      </w:r>
    </w:p>
    <w:p w:rsidR="007C1FDA" w:rsidRPr="007C1FDA" w:rsidRDefault="007C1FDA" w:rsidP="007C1FDA">
      <w:pPr>
        <w:spacing w:after="0" w:line="240" w:lineRule="auto"/>
        <w:ind w:left="720"/>
        <w:contextualSpacing/>
        <w:rPr>
          <w:rFonts w:ascii="Tahoma" w:eastAsia="Calibri" w:hAnsi="Tahoma" w:cs="Tahoma"/>
          <w:lang w:val="es-ES"/>
        </w:rPr>
      </w:pPr>
    </w:p>
    <w:p w:rsidR="007C1FDA" w:rsidRPr="007C1FDA" w:rsidRDefault="007C1FDA" w:rsidP="007C1FDA">
      <w:pPr>
        <w:numPr>
          <w:ilvl w:val="0"/>
          <w:numId w:val="10"/>
        </w:numPr>
        <w:spacing w:after="0" w:line="240" w:lineRule="auto"/>
        <w:ind w:left="1134" w:hanging="567"/>
        <w:jc w:val="both"/>
        <w:rPr>
          <w:rFonts w:ascii="Tahoma" w:eastAsia="Calibri" w:hAnsi="Tahoma" w:cs="Tahoma"/>
          <w:lang w:val="es-ES"/>
        </w:rPr>
      </w:pPr>
      <w:r w:rsidRPr="007C1FDA">
        <w:rPr>
          <w:rFonts w:ascii="Tahoma" w:eastAsia="Calibri" w:hAnsi="Tahoma" w:cs="Tahoma"/>
          <w:lang w:val="es-ES"/>
        </w:rPr>
        <w:t>Señor Presidente, estas observaciones fueron levantadas inmediatamente después de tener conocimiento de ellas con fecha 08 de Febrero del 2010, tal como se puede apreciar de la copia de la solicitud de ingreso (anexo 8).</w:t>
      </w:r>
    </w:p>
    <w:p w:rsidR="007C1FDA" w:rsidRPr="007C1FDA" w:rsidRDefault="007C1FDA" w:rsidP="007C1FDA">
      <w:pPr>
        <w:spacing w:after="0" w:line="240" w:lineRule="auto"/>
        <w:ind w:left="720"/>
        <w:contextualSpacing/>
        <w:rPr>
          <w:rFonts w:ascii="Tahoma" w:eastAsia="Calibri" w:hAnsi="Tahoma" w:cs="Tahoma"/>
          <w:lang w:val="es-ES"/>
        </w:rPr>
      </w:pPr>
    </w:p>
    <w:p w:rsidR="007C1FDA" w:rsidRPr="007C1FDA" w:rsidRDefault="007C1FDA" w:rsidP="007C1FDA">
      <w:pPr>
        <w:numPr>
          <w:ilvl w:val="0"/>
          <w:numId w:val="10"/>
        </w:numPr>
        <w:spacing w:after="0" w:line="240" w:lineRule="auto"/>
        <w:ind w:left="1134" w:hanging="567"/>
        <w:jc w:val="both"/>
        <w:rPr>
          <w:rFonts w:ascii="Tahoma" w:eastAsia="Calibri" w:hAnsi="Tahoma" w:cs="Tahoma"/>
          <w:lang w:val="es-ES"/>
        </w:rPr>
      </w:pPr>
      <w:r w:rsidRPr="007C1FDA">
        <w:rPr>
          <w:rFonts w:ascii="Tahoma" w:eastAsia="Calibri" w:hAnsi="Tahoma" w:cs="Tahoma"/>
          <w:lang w:val="es-ES"/>
        </w:rPr>
        <w:t>Señor Presidente, de conformidad con el Principio de Moralidad, prescrito en el artículo 4º de la Ley de Contrataciones del Estado, Decreto Legislativo Nº 1017: “todos los actos referidos a los procesos de contratación de las Entidades estarán sujetos a las reglas de honradez, veracidad, intangibilidad, justicia y probidad”, como se puede apreciar de los documentos sustentatorios y que sirven de prueba a nuestro descargo, mi representada siempre actuó premunida de veracidad y probidad, tan es así que inmediatamente tomamos conocimiento de las observaciones formuladas por el OSCE, a través del buzón electrónico, levantamos dichas observaciones, que más que observaciones son, a criterio de esta parte, errores mecanográficos imputados a nuestro personal administrativo por la falta de experiencia. Como quiera que nunca antes tuvimos este tipo de observaciones y nunca hemos sido notificados por el OSCE mediante este nuevo sistema electrónico, el personal administrativo de mi representada recién tomo conocimiento de ello casi a los dos meses de haber presentado nuestra solicitud de renovación e inscripción. Sin embargo, señor presidente, mi representada es una empresa seria, debidamente formalizada, con años de experiencia, con capital nacional apostando por el futuro del país y jamás tuvo comunicación por parte del OSCE a través de este medio electrónico. Es esta la razón por la cual recién con fecha 08 de Febrero de 2010 levantamos las observaciones señaladas por el OSCE. (…)” (SIC)</w:t>
      </w:r>
      <w:r w:rsidRPr="007C1FDA">
        <w:rPr>
          <w:rFonts w:ascii="Tahoma" w:eastAsia="Times New Roman" w:hAnsi="Tahoma" w:cs="Tahoma"/>
          <w:color w:val="000000"/>
          <w:lang w:eastAsia="es-ES"/>
        </w:rPr>
        <w:t>.</w:t>
      </w:r>
    </w:p>
    <w:p w:rsidR="007C1FDA" w:rsidRPr="007C1FDA" w:rsidRDefault="007C1FDA" w:rsidP="007C1FDA">
      <w:pPr>
        <w:spacing w:after="0" w:line="240" w:lineRule="auto"/>
        <w:rPr>
          <w:rFonts w:ascii="Tahoma" w:eastAsia="Times New Roman" w:hAnsi="Tahoma" w:cs="Tahoma"/>
          <w:lang w:val="es-ES_tradnl" w:eastAsia="es-ES"/>
        </w:rPr>
      </w:pPr>
    </w:p>
    <w:p w:rsidR="007C1FDA" w:rsidRPr="007C1FDA" w:rsidRDefault="007C1FDA" w:rsidP="007C1FDA">
      <w:pPr>
        <w:numPr>
          <w:ilvl w:val="0"/>
          <w:numId w:val="8"/>
        </w:numPr>
        <w:spacing w:after="0" w:line="240" w:lineRule="auto"/>
        <w:ind w:left="567" w:hanging="567"/>
        <w:contextualSpacing/>
        <w:jc w:val="both"/>
        <w:rPr>
          <w:rFonts w:ascii="Tahoma" w:eastAsia="Times New Roman" w:hAnsi="Tahoma" w:cs="Tahoma"/>
          <w:lang w:val="es-ES_tradnl" w:eastAsia="es-ES"/>
        </w:rPr>
      </w:pPr>
      <w:r w:rsidRPr="007C1FDA">
        <w:rPr>
          <w:rFonts w:ascii="Tahoma" w:eastAsia="Times New Roman" w:hAnsi="Tahoma" w:cs="Tahoma"/>
          <w:lang w:val="es-ES_tradnl" w:eastAsia="es-ES"/>
        </w:rPr>
        <w:t>Mediante decreto de fecha 28 de Junio de 2011, se tuvo por apersonado a la empresa CONTEMAR S.A.C.</w:t>
      </w:r>
      <w:r w:rsidRPr="007C1FDA">
        <w:rPr>
          <w:rFonts w:ascii="Tahoma" w:eastAsia="Times New Roman" w:hAnsi="Tahoma" w:cs="Tahoma"/>
          <w:lang w:val="es-ES" w:eastAsia="es-ES"/>
        </w:rPr>
        <w:t>,</w:t>
      </w:r>
      <w:r w:rsidRPr="007C1FDA">
        <w:rPr>
          <w:rFonts w:ascii="Tahoma" w:eastAsia="Times New Roman" w:hAnsi="Tahoma" w:cs="Tahoma"/>
          <w:lang w:val="es-ES_tradnl" w:eastAsia="es-ES"/>
        </w:rPr>
        <w:t xml:space="preserve"> y se remitió el expediente a la Cuarta Sala del Tribunal para que resuelva.</w:t>
      </w:r>
    </w:p>
    <w:p w:rsidR="007C1FDA" w:rsidRPr="007C1FDA" w:rsidRDefault="007C1FDA" w:rsidP="007C1FDA">
      <w:pPr>
        <w:spacing w:after="0" w:line="240" w:lineRule="auto"/>
        <w:ind w:left="567" w:hanging="567"/>
        <w:contextualSpacing/>
        <w:jc w:val="both"/>
        <w:rPr>
          <w:rFonts w:ascii="Tahoma" w:eastAsia="Times New Roman" w:hAnsi="Tahoma" w:cs="Tahoma"/>
          <w:lang w:val="es-ES_tradnl" w:eastAsia="es-ES"/>
        </w:rPr>
      </w:pPr>
    </w:p>
    <w:p w:rsidR="007C1FDA" w:rsidRPr="007C1FDA" w:rsidRDefault="007C1FDA" w:rsidP="007C1FDA">
      <w:pPr>
        <w:numPr>
          <w:ilvl w:val="0"/>
          <w:numId w:val="8"/>
        </w:numPr>
        <w:tabs>
          <w:tab w:val="num" w:pos="567"/>
        </w:tabs>
        <w:spacing w:after="0" w:line="240" w:lineRule="auto"/>
        <w:ind w:left="567" w:hanging="567"/>
        <w:jc w:val="both"/>
        <w:rPr>
          <w:rFonts w:ascii="Tahoma" w:hAnsi="Tahoma" w:cs="Tahoma"/>
        </w:rPr>
      </w:pPr>
      <w:r w:rsidRPr="007C1FDA">
        <w:rPr>
          <w:rFonts w:ascii="Tahoma" w:hAnsi="Tahoma" w:cs="Tahoma"/>
        </w:rPr>
        <w:t xml:space="preserve">Por decreto de fecha 10 de Agosto de 2011, la Cuarta Sala del Tribunal, solicitó la siguiente información adicional: </w:t>
      </w:r>
    </w:p>
    <w:p w:rsidR="007C1FDA" w:rsidRPr="007C1FDA" w:rsidRDefault="007C1FDA" w:rsidP="007C1FDA">
      <w:pPr>
        <w:spacing w:after="0" w:line="240" w:lineRule="auto"/>
        <w:ind w:left="567" w:hanging="567"/>
        <w:contextualSpacing/>
        <w:jc w:val="both"/>
        <w:rPr>
          <w:rFonts w:ascii="Tahoma" w:eastAsia="Times New Roman" w:hAnsi="Tahoma" w:cs="Tahoma"/>
          <w:b/>
          <w:color w:val="000000"/>
          <w:lang w:eastAsia="es-PE"/>
        </w:rPr>
      </w:pPr>
    </w:p>
    <w:p w:rsidR="007C1FDA" w:rsidRPr="007C1FDA" w:rsidRDefault="007C1FDA" w:rsidP="007C1FDA">
      <w:pPr>
        <w:spacing w:after="0" w:line="240" w:lineRule="auto"/>
        <w:ind w:left="567"/>
        <w:contextualSpacing/>
        <w:jc w:val="both"/>
        <w:rPr>
          <w:rFonts w:ascii="Tahoma" w:eastAsia="Times New Roman" w:hAnsi="Tahoma" w:cs="Tahoma"/>
          <w:b/>
          <w:color w:val="000000"/>
          <w:lang w:eastAsia="es-PE"/>
        </w:rPr>
      </w:pPr>
      <w:r w:rsidRPr="007C1FDA">
        <w:rPr>
          <w:rFonts w:ascii="Tahoma" w:eastAsia="Times New Roman" w:hAnsi="Tahoma" w:cs="Tahoma"/>
          <w:b/>
          <w:color w:val="000000"/>
          <w:lang w:eastAsia="es-PE"/>
        </w:rPr>
        <w:t>“(…)</w:t>
      </w:r>
    </w:p>
    <w:p w:rsidR="007C1FDA" w:rsidRPr="007C1FDA" w:rsidRDefault="007C1FDA" w:rsidP="007C1FDA">
      <w:pPr>
        <w:spacing w:after="0" w:line="240" w:lineRule="auto"/>
        <w:ind w:left="567"/>
        <w:contextualSpacing/>
        <w:jc w:val="both"/>
        <w:rPr>
          <w:rFonts w:ascii="Tahoma" w:eastAsia="Times New Roman" w:hAnsi="Tahoma" w:cs="Tahoma"/>
          <w:b/>
          <w:i/>
          <w:color w:val="000000"/>
          <w:lang w:val="es-ES" w:eastAsia="es-PE"/>
        </w:rPr>
      </w:pPr>
      <w:r w:rsidRPr="007C1FDA">
        <w:rPr>
          <w:rFonts w:ascii="Tahoma" w:eastAsia="Times New Roman" w:hAnsi="Tahoma" w:cs="Tahoma"/>
          <w:b/>
          <w:i/>
          <w:color w:val="000000"/>
          <w:lang w:eastAsia="es-PE"/>
        </w:rPr>
        <w:t>A LA SUBDIRECCIÓN DEL REGISTRO NACIONAL DE PROVEEDORES</w:t>
      </w:r>
      <w:r w:rsidRPr="007C1FDA">
        <w:rPr>
          <w:rFonts w:ascii="Tahoma" w:eastAsia="Times New Roman" w:hAnsi="Tahoma" w:cs="Tahoma"/>
          <w:b/>
          <w:i/>
          <w:color w:val="000000"/>
          <w:lang w:val="es-ES" w:eastAsia="es-PE"/>
        </w:rPr>
        <w:t>:</w:t>
      </w:r>
    </w:p>
    <w:p w:rsidR="007C1FDA" w:rsidRPr="007C1FDA" w:rsidRDefault="007C1FDA" w:rsidP="007C1FDA">
      <w:pPr>
        <w:spacing w:after="0" w:line="240" w:lineRule="auto"/>
        <w:ind w:left="720"/>
        <w:contextualSpacing/>
        <w:jc w:val="both"/>
        <w:rPr>
          <w:rFonts w:ascii="Tahoma" w:eastAsia="Times New Roman" w:hAnsi="Tahoma" w:cs="Tahoma"/>
          <w:b/>
          <w:i/>
          <w:color w:val="444444"/>
          <w:lang w:val="es-ES" w:eastAsia="es-PE"/>
        </w:rPr>
      </w:pPr>
    </w:p>
    <w:p w:rsidR="007C1FDA" w:rsidRPr="007C1FDA" w:rsidRDefault="007C1FDA" w:rsidP="007C1FDA">
      <w:pPr>
        <w:spacing w:after="0" w:line="240" w:lineRule="auto"/>
        <w:ind w:left="567"/>
        <w:contextualSpacing/>
        <w:jc w:val="both"/>
        <w:rPr>
          <w:rFonts w:ascii="Tahoma" w:eastAsia="Times New Roman" w:hAnsi="Tahoma" w:cs="Tahoma"/>
          <w:color w:val="000000"/>
          <w:lang w:eastAsia="es-PE"/>
        </w:rPr>
      </w:pPr>
      <w:r w:rsidRPr="007C1FDA">
        <w:rPr>
          <w:rFonts w:ascii="Tahoma" w:eastAsia="Times New Roman" w:hAnsi="Tahoma" w:cs="Tahoma"/>
          <w:i/>
          <w:color w:val="000000"/>
          <w:lang w:eastAsia="es-PE"/>
        </w:rPr>
        <w:t>Sírvase remitir el Resumen Histórico de la Inscripción, así como las respectivas renovaciones en el Registro Nacional de Proveedores, de la empresa CONTEMAR S.A.C.</w:t>
      </w:r>
      <w:r w:rsidRPr="007C1FDA">
        <w:rPr>
          <w:rFonts w:ascii="Tahoma" w:eastAsia="Times New Roman" w:hAnsi="Tahoma" w:cs="Tahoma"/>
          <w:color w:val="000000"/>
          <w:lang w:eastAsia="es-PE"/>
        </w:rPr>
        <w:t xml:space="preserve"> (…)”</w:t>
      </w:r>
    </w:p>
    <w:p w:rsidR="007C1FDA" w:rsidRPr="007C1FDA" w:rsidRDefault="007C1FDA" w:rsidP="007C1FDA">
      <w:pPr>
        <w:spacing w:after="0" w:line="240" w:lineRule="auto"/>
        <w:ind w:left="567"/>
        <w:contextualSpacing/>
        <w:jc w:val="both"/>
        <w:rPr>
          <w:rFonts w:ascii="Tahoma" w:eastAsia="Times New Roman" w:hAnsi="Tahoma" w:cs="Tahoma"/>
          <w:color w:val="000000"/>
          <w:lang w:eastAsia="es-PE"/>
        </w:rPr>
      </w:pPr>
    </w:p>
    <w:p w:rsidR="007C1FDA" w:rsidRPr="007C1FDA" w:rsidRDefault="007C1FDA" w:rsidP="007C1FDA">
      <w:pPr>
        <w:numPr>
          <w:ilvl w:val="0"/>
          <w:numId w:val="8"/>
        </w:numPr>
        <w:tabs>
          <w:tab w:val="num" w:pos="567"/>
        </w:tabs>
        <w:spacing w:after="0" w:line="240" w:lineRule="auto"/>
        <w:ind w:left="567" w:hanging="567"/>
        <w:jc w:val="both"/>
        <w:rPr>
          <w:rFonts w:ascii="Tahoma" w:hAnsi="Tahoma" w:cs="Tahoma"/>
        </w:rPr>
      </w:pPr>
      <w:r w:rsidRPr="007C1FDA">
        <w:rPr>
          <w:rFonts w:ascii="Tahoma" w:hAnsi="Tahoma" w:cs="Tahoma"/>
        </w:rPr>
        <w:t>Mediante Memorando № 1025-2011/SREG-HCS, recibido el 15 de Agosto de 2010, la Subdirección del Registro Nacional de Proveedores remitió al Tribunal, la información solicitada en el numeral precedente, señalando que en el periodo del 19 de Noviembre del 2009 al 15 de Febrero del 2010, la empresa CONTEMAR S.A.C., no contaba con la inscripción vigente en dicho Registro.</w:t>
      </w:r>
    </w:p>
    <w:p w:rsidR="007C1FDA" w:rsidRPr="007C1FDA" w:rsidRDefault="007C1FDA" w:rsidP="007C1FDA">
      <w:pPr>
        <w:tabs>
          <w:tab w:val="left" w:pos="540"/>
          <w:tab w:val="num" w:pos="567"/>
        </w:tabs>
        <w:spacing w:after="0" w:line="240" w:lineRule="auto"/>
        <w:ind w:left="567" w:hanging="567"/>
        <w:contextualSpacing/>
        <w:jc w:val="both"/>
        <w:rPr>
          <w:rFonts w:ascii="Tahoma" w:hAnsi="Tahoma" w:cs="Tahoma"/>
          <w:bCs/>
        </w:rPr>
      </w:pPr>
    </w:p>
    <w:p w:rsidR="007C1FDA" w:rsidRPr="007C1FDA" w:rsidRDefault="007C1FDA" w:rsidP="007C1FDA">
      <w:pPr>
        <w:numPr>
          <w:ilvl w:val="0"/>
          <w:numId w:val="8"/>
        </w:numPr>
        <w:tabs>
          <w:tab w:val="num" w:pos="567"/>
        </w:tabs>
        <w:spacing w:after="0" w:line="240" w:lineRule="auto"/>
        <w:ind w:left="567" w:hanging="567"/>
        <w:contextualSpacing/>
        <w:jc w:val="both"/>
        <w:rPr>
          <w:rFonts w:ascii="Tahoma" w:hAnsi="Tahoma" w:cs="Tahoma"/>
          <w:bCs/>
        </w:rPr>
      </w:pPr>
      <w:r w:rsidRPr="007C1FDA">
        <w:rPr>
          <w:rFonts w:ascii="Tahoma" w:hAnsi="Tahoma" w:cs="Tahoma"/>
          <w:lang w:val="es-ES_tradnl"/>
        </w:rPr>
        <w:t xml:space="preserve">Con fecha 22 de Agosto de 2011, se declaró frustrada la diligencia de Audiencia Pública por inasistencia de las partes.  </w:t>
      </w:r>
    </w:p>
    <w:p w:rsidR="007C1FDA" w:rsidRPr="007C1FDA" w:rsidRDefault="007C1FDA" w:rsidP="007C1FDA">
      <w:pPr>
        <w:ind w:left="720"/>
        <w:contextualSpacing/>
        <w:rPr>
          <w:rFonts w:ascii="Tahoma" w:hAnsi="Tahoma" w:cs="Tahoma"/>
          <w:bCs/>
        </w:rPr>
      </w:pPr>
    </w:p>
    <w:p w:rsidR="007C1FDA" w:rsidRPr="007C1FDA" w:rsidRDefault="007C1FDA" w:rsidP="007C1FDA">
      <w:pPr>
        <w:numPr>
          <w:ilvl w:val="0"/>
          <w:numId w:val="8"/>
        </w:numPr>
        <w:tabs>
          <w:tab w:val="num" w:pos="567"/>
        </w:tabs>
        <w:spacing w:after="0" w:line="240" w:lineRule="auto"/>
        <w:ind w:left="567" w:hanging="567"/>
        <w:contextualSpacing/>
        <w:jc w:val="both"/>
        <w:rPr>
          <w:rFonts w:ascii="Tahoma" w:hAnsi="Tahoma" w:cs="Tahoma"/>
          <w:bCs/>
        </w:rPr>
      </w:pPr>
      <w:r w:rsidRPr="007C1FDA">
        <w:rPr>
          <w:rFonts w:ascii="Tahoma" w:hAnsi="Tahoma" w:cs="Tahoma"/>
          <w:bCs/>
        </w:rPr>
        <w:t xml:space="preserve">Con decreto de fecha 05 de Septiembre del 2011, y en razón a la Resolución Nº </w:t>
      </w:r>
      <w:r w:rsidRPr="007C1FDA">
        <w:rPr>
          <w:rFonts w:ascii="Tahoma" w:hAnsi="Tahoma" w:cs="Tahoma"/>
          <w:color w:val="000000"/>
        </w:rPr>
        <w:t>574-2011-OSCE/PRE de fecha 02 de Septiembre del mismo a</w:t>
      </w:r>
      <w:r w:rsidRPr="007C1FDA">
        <w:rPr>
          <w:rFonts w:ascii="Tahoma" w:hAnsi="Tahoma" w:cs="Tahoma"/>
          <w:bCs/>
        </w:rPr>
        <w:t>ño, se reasignó el presente expediente administrativo a la Primera Sala del Tribunal para su evaluación.</w:t>
      </w:r>
    </w:p>
    <w:p w:rsidR="007C1FDA" w:rsidRPr="007C1FDA" w:rsidRDefault="007C1FDA" w:rsidP="007C1FDA">
      <w:pPr>
        <w:spacing w:after="0" w:line="240" w:lineRule="auto"/>
        <w:ind w:left="540" w:hanging="540"/>
        <w:jc w:val="both"/>
        <w:rPr>
          <w:rFonts w:ascii="Tahoma" w:eastAsia="Times New Roman" w:hAnsi="Tahoma" w:cs="Tahoma"/>
          <w:lang w:val="es-ES" w:eastAsia="es-ES"/>
        </w:rPr>
      </w:pPr>
    </w:p>
    <w:p w:rsidR="007C1FDA" w:rsidRPr="007C1FDA" w:rsidRDefault="007C1FDA" w:rsidP="007C1FDA">
      <w:pPr>
        <w:spacing w:after="0" w:line="240" w:lineRule="auto"/>
        <w:ind w:firstLine="708"/>
        <w:rPr>
          <w:rFonts w:ascii="Tahoma" w:eastAsia="Times New Roman" w:hAnsi="Tahoma" w:cs="Tahoma"/>
          <w:b/>
          <w:lang w:val="es-ES" w:eastAsia="es-ES"/>
        </w:rPr>
      </w:pPr>
      <w:r w:rsidRPr="007C1FDA">
        <w:rPr>
          <w:rFonts w:ascii="Tahoma" w:eastAsia="Times New Roman" w:hAnsi="Tahoma" w:cs="Tahoma"/>
          <w:b/>
          <w:lang w:val="es-ES" w:eastAsia="es-ES"/>
        </w:rPr>
        <w:t>FUNDAMENTACIÓN:</w:t>
      </w:r>
    </w:p>
    <w:p w:rsidR="007C1FDA" w:rsidRPr="007C1FDA" w:rsidRDefault="007C1FDA" w:rsidP="007C1FDA">
      <w:pPr>
        <w:spacing w:after="0" w:line="240" w:lineRule="auto"/>
        <w:ind w:left="540" w:hanging="540"/>
        <w:jc w:val="both"/>
        <w:rPr>
          <w:rFonts w:ascii="Tahoma" w:eastAsia="Times New Roman" w:hAnsi="Tahoma" w:cs="Tahoma"/>
          <w:lang w:val="es-ES" w:eastAsia="es-ES"/>
        </w:rPr>
      </w:pPr>
    </w:p>
    <w:p w:rsidR="007C1FDA" w:rsidRPr="007C1FDA" w:rsidRDefault="007C1FDA" w:rsidP="007C1FDA">
      <w:pPr>
        <w:spacing w:after="0" w:line="240" w:lineRule="auto"/>
        <w:ind w:left="567"/>
        <w:jc w:val="both"/>
        <w:rPr>
          <w:rFonts w:ascii="Tahoma" w:eastAsia="Times New Roman" w:hAnsi="Tahoma" w:cs="Tahoma"/>
          <w:b/>
          <w:lang w:val="es-MX" w:eastAsia="es-ES"/>
        </w:rPr>
      </w:pPr>
      <w:r w:rsidRPr="007C1FDA">
        <w:rPr>
          <w:rFonts w:ascii="Tahoma" w:eastAsia="Times New Roman" w:hAnsi="Tahoma" w:cs="Tahoma"/>
          <w:b/>
          <w:lang w:val="es-MX" w:eastAsia="es-ES"/>
        </w:rPr>
        <w:t>CUESTIÓN PREVIA</w:t>
      </w:r>
    </w:p>
    <w:p w:rsidR="007C1FDA" w:rsidRPr="007C1FDA" w:rsidRDefault="007C1FDA" w:rsidP="007C1FDA">
      <w:pPr>
        <w:spacing w:after="0" w:line="240" w:lineRule="auto"/>
        <w:ind w:left="567"/>
        <w:jc w:val="both"/>
        <w:rPr>
          <w:rFonts w:ascii="Tahoma" w:eastAsia="Times New Roman" w:hAnsi="Tahoma" w:cs="Tahoma"/>
          <w:b/>
          <w:lang w:val="es-MX" w:eastAsia="es-ES"/>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hAnsi="Tahoma" w:cs="Tahoma"/>
          <w:b/>
        </w:rPr>
      </w:pPr>
      <w:r w:rsidRPr="007C1FDA">
        <w:rPr>
          <w:rFonts w:ascii="Tahoma" w:hAnsi="Tahoma" w:cs="Tahoma"/>
        </w:rPr>
        <w:t>Habiéndose advertido que el presente proceso deriva de un proceso de selección por Competencia Menor, resulta pertinente evaluar el marco normativo que rige el citado proceso, a fin de determinar la competencia de este Tribunal para conocer la denuncia presentada por la Entidad.</w:t>
      </w:r>
    </w:p>
    <w:p w:rsidR="007C1FDA" w:rsidRPr="007C1FDA" w:rsidRDefault="007C1FDA" w:rsidP="007C1FDA">
      <w:pPr>
        <w:spacing w:after="0" w:line="240" w:lineRule="auto"/>
        <w:ind w:left="567"/>
        <w:jc w:val="both"/>
        <w:rPr>
          <w:rFonts w:ascii="Tahoma" w:hAnsi="Tahoma" w:cs="Tahoma"/>
          <w:b/>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hAnsi="Tahoma" w:cs="Tahoma"/>
          <w:b/>
        </w:rPr>
      </w:pPr>
      <w:r w:rsidRPr="007C1FDA">
        <w:rPr>
          <w:rFonts w:ascii="Tahoma" w:hAnsi="Tahoma" w:cs="Tahoma"/>
        </w:rPr>
        <w:lastRenderedPageBreak/>
        <w:t>Mediante Ley Nº 28840</w:t>
      </w:r>
      <w:r w:rsidRPr="007C1FDA">
        <w:rPr>
          <w:rFonts w:ascii="Tahoma" w:hAnsi="Tahoma" w:cs="Tahoma"/>
          <w:vertAlign w:val="superscript"/>
        </w:rPr>
        <w:footnoteReference w:id="4"/>
      </w:r>
      <w:r w:rsidRPr="007C1FDA">
        <w:rPr>
          <w:rFonts w:ascii="Tahoma" w:hAnsi="Tahoma" w:cs="Tahoma"/>
        </w:rPr>
        <w:t xml:space="preserve"> se declaró de interés nacional el fortalecimiento y modernización de Petróleos del Perú S.A.-PETROPERÚ, en lo sucesivo PETROPERÚ, estableciéndose que sus actividades deben desarrollarse en el marco de dicha Ley, su Ley Orgánica, el Decreto Legislativo Nº 43 y su modificatoria, la Ley Nº 26224, su Estatuto Social y supletoriamente por las disposiciones de la Ley General de Sociedades.</w:t>
      </w:r>
    </w:p>
    <w:p w:rsidR="007C1FDA" w:rsidRPr="007C1FDA" w:rsidRDefault="007C1FDA" w:rsidP="007C1FDA">
      <w:pPr>
        <w:spacing w:after="0" w:line="240" w:lineRule="auto"/>
        <w:ind w:left="720"/>
        <w:contextualSpacing/>
        <w:rPr>
          <w:rFonts w:ascii="Tahoma" w:hAnsi="Tahoma" w:cs="Tahoma"/>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hAnsi="Tahoma" w:cs="Tahoma"/>
          <w:b/>
        </w:rPr>
      </w:pPr>
      <w:r w:rsidRPr="007C1FDA">
        <w:rPr>
          <w:rFonts w:ascii="Tahoma" w:hAnsi="Tahoma" w:cs="Tahoma"/>
        </w:rPr>
        <w:t xml:space="preserve">La Segunda Disposición Complementaria de la Ley Nº 28840 refiere que las adquisiciones y contrataciones de PETROPERÚ se rigen por su Reglamento, propuesto por su Directorio y aprobado por el OSCE. Asimismo, establece que las modalidades de adquisiciones y contrataciones de PETROPERÚ serán definidas en su Reglamento y se regirán por los principios de eficiencia, economía, transparencia y auditabilidad, así como los demás principios contenidos en la legislación de la materia. </w:t>
      </w:r>
    </w:p>
    <w:p w:rsidR="007C1FDA" w:rsidRPr="007C1FDA" w:rsidRDefault="007C1FDA" w:rsidP="007C1FDA">
      <w:pPr>
        <w:tabs>
          <w:tab w:val="num" w:pos="567"/>
        </w:tabs>
        <w:spacing w:after="0" w:line="240" w:lineRule="auto"/>
        <w:ind w:left="720"/>
        <w:contextualSpacing/>
        <w:rPr>
          <w:rFonts w:ascii="Tahoma" w:hAnsi="Tahoma" w:cs="Tahoma"/>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hAnsi="Tahoma" w:cs="Tahoma"/>
          <w:b/>
        </w:rPr>
      </w:pPr>
      <w:r w:rsidRPr="007C1FDA">
        <w:rPr>
          <w:rFonts w:ascii="Tahoma" w:hAnsi="Tahoma" w:cs="Tahoma"/>
        </w:rPr>
        <w:t>En tal sentido, mediante Resolución Nº 523-2009-OSCE/PRE</w:t>
      </w:r>
      <w:r w:rsidRPr="007C1FDA">
        <w:rPr>
          <w:rFonts w:ascii="Tahoma" w:hAnsi="Tahoma" w:cs="Tahoma"/>
          <w:vertAlign w:val="superscript"/>
        </w:rPr>
        <w:footnoteReference w:id="5"/>
      </w:r>
      <w:r w:rsidRPr="007C1FDA">
        <w:rPr>
          <w:rFonts w:ascii="Tahoma" w:hAnsi="Tahoma" w:cs="Tahoma"/>
        </w:rPr>
        <w:t xml:space="preserve"> se aprobó el Reglamento de Adquisiciones y Contrataciones de Petróleos del Perú S.A., en adelante el Reglamento de PETROPERÚ, el cual tiene como objetivo regular de manera integral y uniforme los procedimientos de adquisiciones de bienes y contrataciones de servicios y obras necesarios para el cumplimiento del objeto social de PETROPERÚ.</w:t>
      </w:r>
    </w:p>
    <w:p w:rsidR="007C1FDA" w:rsidRPr="007C1FDA" w:rsidRDefault="007C1FDA" w:rsidP="007C1FDA">
      <w:pPr>
        <w:tabs>
          <w:tab w:val="num" w:pos="567"/>
        </w:tabs>
        <w:spacing w:after="0" w:line="240" w:lineRule="auto"/>
        <w:ind w:left="720"/>
        <w:contextualSpacing/>
        <w:rPr>
          <w:rFonts w:ascii="Tahoma" w:hAnsi="Tahoma" w:cs="Tahoma"/>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hAnsi="Tahoma" w:cs="Tahoma"/>
          <w:b/>
        </w:rPr>
      </w:pPr>
      <w:r w:rsidRPr="007C1FDA">
        <w:rPr>
          <w:rFonts w:ascii="Tahoma" w:hAnsi="Tahoma" w:cs="Tahoma"/>
          <w:lang w:val="es-ES_tradnl"/>
        </w:rPr>
        <w:t xml:space="preserve">Asimismo, el numeral 5.12 del citado Reglamento de PETROPERÚ, dispone que con relación al Registro Nacional de Proveedores (RNP), Sistema Electrónico de Contrataciones del Estado (SEACE), recursos de impugnación y </w:t>
      </w:r>
      <w:r w:rsidRPr="007C1FDA">
        <w:rPr>
          <w:rFonts w:ascii="Tahoma" w:hAnsi="Tahoma" w:cs="Tahoma"/>
          <w:b/>
          <w:lang w:val="es-ES_tradnl"/>
        </w:rPr>
        <w:t xml:space="preserve">procedimientos administrativos sancionadores que se tramitan ante el Tribunal de Contrataciones del Estado, </w:t>
      </w:r>
      <w:r w:rsidRPr="007C1FDA">
        <w:rPr>
          <w:rFonts w:ascii="Tahoma" w:hAnsi="Tahoma" w:cs="Tahoma"/>
          <w:lang w:val="es-ES_tradnl"/>
        </w:rPr>
        <w:t>será de aplicación el Decreto Legislativo Nº 1017, Ley de Contrataciones del Estado y su Reglamento aprobado por Decreto Supremo Nº 184-2008-EF.</w:t>
      </w:r>
    </w:p>
    <w:p w:rsidR="007C1FDA" w:rsidRPr="007C1FDA" w:rsidRDefault="007C1FDA" w:rsidP="007C1FDA">
      <w:pPr>
        <w:tabs>
          <w:tab w:val="num" w:pos="567"/>
        </w:tabs>
        <w:spacing w:after="0" w:line="240" w:lineRule="auto"/>
        <w:ind w:left="720"/>
        <w:contextualSpacing/>
        <w:rPr>
          <w:rFonts w:ascii="Tahoma" w:hAnsi="Tahoma" w:cs="Tahoma"/>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hAnsi="Tahoma" w:cs="Tahoma"/>
          <w:b/>
          <w:bCs/>
          <w:i/>
          <w:iCs/>
          <w:color w:val="000000"/>
        </w:rPr>
      </w:pPr>
      <w:r w:rsidRPr="007C1FDA">
        <w:rPr>
          <w:rFonts w:ascii="Tahoma" w:eastAsia="Times New Roman" w:hAnsi="Tahoma" w:cs="Tahoma"/>
          <w:lang w:eastAsia="es-ES"/>
        </w:rPr>
        <w:t>Ahora bien</w:t>
      </w:r>
      <w:r w:rsidRPr="007C1FDA">
        <w:rPr>
          <w:rFonts w:ascii="Tahoma" w:eastAsia="Times New Roman" w:hAnsi="Tahoma" w:cs="Tahoma"/>
          <w:lang w:val="es-ES_tradnl" w:eastAsia="es-ES"/>
        </w:rPr>
        <w:t xml:space="preserve">, y como marco referencial, debemos tener presente que la causal de infracción antes invocada estableceque los proveedores, participantes, postores y/o contratistas incurrirán en infracción susceptible de sanción cuando </w:t>
      </w:r>
      <w:r w:rsidRPr="007C1FDA">
        <w:rPr>
          <w:rFonts w:ascii="Tahoma" w:eastAsia="Times New Roman" w:hAnsi="Tahoma" w:cs="Tahoma"/>
          <w:u w:val="single"/>
          <w:lang w:val="es-ES_tradnl" w:eastAsia="es-ES"/>
        </w:rPr>
        <w:t>participen</w:t>
      </w:r>
      <w:r w:rsidRPr="007C1FDA">
        <w:rPr>
          <w:rFonts w:ascii="Tahoma" w:eastAsia="Times New Roman" w:hAnsi="Tahoma" w:cs="Tahoma"/>
          <w:lang w:val="es-ES_tradnl" w:eastAsia="es-ES"/>
        </w:rPr>
        <w:t xml:space="preserve"> en procesos de selección o </w:t>
      </w:r>
      <w:r w:rsidRPr="007C1FDA">
        <w:rPr>
          <w:rFonts w:ascii="Tahoma" w:eastAsia="Times New Roman" w:hAnsi="Tahoma" w:cs="Tahoma"/>
          <w:u w:val="single"/>
          <w:lang w:val="es-ES_tradnl" w:eastAsia="es-ES"/>
        </w:rPr>
        <w:t>suscriban</w:t>
      </w:r>
      <w:r w:rsidRPr="007C1FDA">
        <w:rPr>
          <w:rFonts w:ascii="Tahoma" w:eastAsia="Times New Roman" w:hAnsi="Tahoma" w:cs="Tahoma"/>
          <w:lang w:val="es-ES_tradnl" w:eastAsia="es-ES"/>
        </w:rPr>
        <w:t xml:space="preserve"> un contrato sin contar con inscripción vigente el Registro Nacional de Proveedores, y se configura </w:t>
      </w:r>
      <w:r w:rsidRPr="007C1FDA">
        <w:rPr>
          <w:rFonts w:ascii="Tahoma" w:eastAsia="Times New Roman" w:hAnsi="Tahoma" w:cs="Tahoma"/>
          <w:u w:val="single"/>
          <w:lang w:val="es-ES_tradnl" w:eastAsia="es-ES"/>
        </w:rPr>
        <w:t>con la sola participación en el proceso o la suscripción de un contrato, sin contar con inscripción vigente en el citado Registro</w:t>
      </w:r>
      <w:r w:rsidRPr="007C1FDA">
        <w:rPr>
          <w:rFonts w:ascii="Tahoma" w:eastAsia="Times New Roman" w:hAnsi="Tahoma" w:cs="Tahoma"/>
          <w:lang w:val="es-ES_tradnl" w:eastAsia="es-ES"/>
        </w:rPr>
        <w:t xml:space="preserve">, sin que la norma exija factores adicionales. </w:t>
      </w:r>
    </w:p>
    <w:p w:rsidR="007C1FDA" w:rsidRPr="007C1FDA" w:rsidRDefault="007C1FDA" w:rsidP="007C1FDA">
      <w:pPr>
        <w:tabs>
          <w:tab w:val="num" w:pos="567"/>
        </w:tabs>
        <w:spacing w:after="0" w:line="240" w:lineRule="auto"/>
        <w:ind w:left="720"/>
        <w:contextualSpacing/>
        <w:rPr>
          <w:rFonts w:ascii="Tahoma" w:eastAsia="Times New Roman" w:hAnsi="Tahoma" w:cs="Tahoma"/>
          <w:lang w:val="es-ES_tradnl" w:eastAsia="es-ES"/>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hAnsi="Tahoma" w:cs="Tahoma"/>
          <w:b/>
          <w:bCs/>
          <w:i/>
          <w:iCs/>
          <w:color w:val="000000"/>
        </w:rPr>
      </w:pPr>
      <w:r w:rsidRPr="007C1FDA">
        <w:rPr>
          <w:rFonts w:ascii="Tahoma" w:eastAsia="Times New Roman" w:hAnsi="Tahoma" w:cs="Tahoma"/>
          <w:lang w:val="es-ES_tradnl" w:eastAsia="es-ES"/>
        </w:rPr>
        <w:lastRenderedPageBreak/>
        <w:t>De igual manera, resulta necesario tener en cuenta que de conformidad con lo dispuesto por artículo 9 de la Ley de Contrataciones del Estado</w:t>
      </w:r>
      <w:r w:rsidRPr="007C1FDA">
        <w:rPr>
          <w:rFonts w:ascii="Tahoma" w:eastAsia="Times New Roman" w:hAnsi="Tahoma" w:cs="Tahoma"/>
          <w:vertAlign w:val="superscript"/>
          <w:lang w:val="es-ES_tradnl" w:eastAsia="es-ES"/>
        </w:rPr>
        <w:footnoteReference w:id="6"/>
      </w:r>
      <w:r w:rsidRPr="007C1FDA">
        <w:rPr>
          <w:rFonts w:ascii="Tahoma" w:eastAsia="Times New Roman" w:hAnsi="Tahoma" w:cs="Tahoma"/>
          <w:lang w:val="es-ES_tradnl" w:eastAsia="es-ES"/>
        </w:rPr>
        <w:t xml:space="preserve">, en lo sucesivo La Ley, para ser postor es requisito indispensable estar inscrito en el Registro Nacional de Proveedores. Asimismo, el artículo 252 de El Reglamento prescribe que </w:t>
      </w:r>
      <w:r w:rsidRPr="007C1FDA">
        <w:rPr>
          <w:rFonts w:ascii="Tahoma" w:eastAsia="Calibri" w:hAnsi="Tahoma" w:cs="Tahoma"/>
          <w:lang w:val="es-ES" w:eastAsia="es-PE"/>
        </w:rPr>
        <w:t>los proveedores accederán a los Registros de Bienes, Servicios, Consultoría de Obras y Ejecución de obras, de acuerdo a lo establecido en el presente Reglamento y cumpliendo con los requisitos, tasas, criterios y escalas establecidos en el TUPA del OSCE. La inscripción en los registros</w:t>
      </w:r>
      <w:r w:rsidRPr="007C1FDA">
        <w:rPr>
          <w:rFonts w:ascii="Tahoma" w:eastAsia="Calibri" w:hAnsi="Tahoma" w:cs="Tahoma"/>
          <w:u w:val="single"/>
          <w:lang w:val="es-ES" w:eastAsia="es-PE"/>
        </w:rPr>
        <w:t xml:space="preserve"> tendrá validez de un (1) año a partir del día siguiente su aprobación</w:t>
      </w:r>
      <w:r w:rsidRPr="007C1FDA">
        <w:rPr>
          <w:rFonts w:ascii="Tahoma" w:eastAsia="Calibri" w:hAnsi="Tahoma" w:cs="Tahoma"/>
          <w:lang w:val="es-ES" w:eastAsia="es-PE"/>
        </w:rPr>
        <w:t xml:space="preserve">, pudiendo el interesado iniciar el procedimiento de renovación dentro de los treinta días (30) calendario anteriores a su vencimiento. </w:t>
      </w:r>
      <w:r w:rsidRPr="007C1FDA">
        <w:rPr>
          <w:rFonts w:ascii="Tahoma" w:eastAsia="Calibri" w:hAnsi="Tahoma" w:cs="Tahoma"/>
          <w:u w:val="single"/>
          <w:lang w:val="es-ES" w:eastAsia="es-PE"/>
        </w:rPr>
        <w:t>Los proveedores serán responsables de que su inscripción en el Registro correspondiente del RNP se encuentre vigente durante su participación en el proceso de selección hasta la suscripción del contrato</w:t>
      </w:r>
      <w:r w:rsidRPr="007C1FDA">
        <w:rPr>
          <w:rFonts w:ascii="Tahoma" w:eastAsia="Calibri" w:hAnsi="Tahoma" w:cs="Tahoma"/>
          <w:lang w:val="es-ES" w:eastAsia="es-PE"/>
        </w:rPr>
        <w:t>. Las entidades deberán verificar su autenticidad y vigencia en el portal institucional del OSCE. (El subrayado es nuestro).</w:t>
      </w:r>
    </w:p>
    <w:p w:rsidR="007C1FDA" w:rsidRPr="007C1FDA" w:rsidRDefault="007C1FDA" w:rsidP="007C1FDA">
      <w:pPr>
        <w:spacing w:after="0" w:line="240" w:lineRule="auto"/>
        <w:ind w:left="567"/>
        <w:jc w:val="both"/>
        <w:rPr>
          <w:rFonts w:ascii="Tahoma" w:hAnsi="Tahoma" w:cs="Tahoma"/>
          <w:b/>
          <w:bCs/>
          <w:i/>
          <w:iCs/>
          <w:color w:val="000000"/>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hAnsi="Tahoma" w:cs="Tahoma"/>
          <w:b/>
          <w:bCs/>
          <w:i/>
          <w:iCs/>
          <w:color w:val="000000"/>
        </w:rPr>
      </w:pPr>
      <w:r w:rsidRPr="007C1FDA">
        <w:rPr>
          <w:rFonts w:ascii="Tahoma" w:hAnsi="Tahoma" w:cs="Tahoma"/>
        </w:rPr>
        <w:t>El artículo 261 del Reglamento prevé que en el Registro de Proveedores de Bienes deberán inscribirse todas las personas naturales o jurídicas, nacionales o extranjeras, que deseen participar en procesos de selección y contratar con el Estado la provisión de bienes, sea que se presenten de manera individual, en consorcio o tengan la condición de subcontratistas, para lo cual deberán estar legalmente capacitadas para contratar: (i) Las personas naturales deberán encontrarse en pleno ejercicio de sus derechos civiles. (ii) Las personas jurídicas nacionales deben haber sido constituidas conforme a ley. (iii) Las personas jurídicas extranjeras deben haber sido constituidas de conformidad con la ley de su lugar de origen, y cumplir con los requisitos establecidos en el TUPA de OSCE. El objeto social establecido en la escritura pública de las personas jurídicas, de ser el caso, deberá estar referido a las actividades consideradas en este registro.</w:t>
      </w:r>
    </w:p>
    <w:p w:rsidR="007C1FDA" w:rsidRPr="007C1FDA" w:rsidRDefault="007C1FDA" w:rsidP="007C1FDA">
      <w:pPr>
        <w:tabs>
          <w:tab w:val="num" w:pos="567"/>
        </w:tabs>
        <w:spacing w:after="0" w:line="240" w:lineRule="auto"/>
        <w:ind w:left="720"/>
        <w:contextualSpacing/>
        <w:rPr>
          <w:rFonts w:ascii="Tahoma" w:hAnsi="Tahoma" w:cs="Tahoma"/>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hAnsi="Tahoma" w:cs="Tahoma"/>
          <w:b/>
          <w:bCs/>
          <w:i/>
          <w:iCs/>
          <w:color w:val="000000"/>
        </w:rPr>
      </w:pPr>
      <w:r w:rsidRPr="007C1FDA">
        <w:rPr>
          <w:rFonts w:ascii="Tahoma" w:hAnsi="Tahoma" w:cs="Tahoma"/>
        </w:rPr>
        <w:t xml:space="preserve">Asimismo, el numeral 63 del Texto Único de Procedimientos Administrativos del OSCE señala cuáles son los requisitos con los que debe contar el interesado en inscribirse en el Capítulo de inscripción o renovación de proveedores de Bienes y/o Servicios y que dicha inscripción </w:t>
      </w:r>
      <w:r w:rsidRPr="007C1FDA">
        <w:rPr>
          <w:rFonts w:ascii="Tahoma" w:hAnsi="Tahoma" w:cs="Tahoma"/>
          <w:u w:val="single"/>
        </w:rPr>
        <w:t>estará sometida a una calificación previa por el plazo de treinta (30) días hábiles</w:t>
      </w:r>
      <w:r w:rsidRPr="007C1FDA">
        <w:rPr>
          <w:rFonts w:ascii="Tahoma" w:hAnsi="Tahoma" w:cs="Tahoma"/>
        </w:rPr>
        <w:t xml:space="preserve">. Asimismo hacen mención que </w:t>
      </w:r>
      <w:r w:rsidRPr="007C1FDA">
        <w:rPr>
          <w:rFonts w:ascii="Tahoma" w:hAnsi="Tahoma" w:cs="Tahoma"/>
          <w:u w:val="single"/>
        </w:rPr>
        <w:t>en caso de renovación, podrá iniciarse treinta (30) días hábiles calendario antes de finalizar la vigencia de su inscripción o en forma posterior</w:t>
      </w:r>
      <w:r w:rsidRPr="007C1FDA">
        <w:rPr>
          <w:rFonts w:ascii="Tahoma" w:hAnsi="Tahoma" w:cs="Tahoma"/>
        </w:rPr>
        <w:t>. (el subrayado es nuestro).</w:t>
      </w:r>
    </w:p>
    <w:p w:rsidR="007C1FDA" w:rsidRPr="007C1FDA" w:rsidRDefault="007C1FDA" w:rsidP="007C1FDA">
      <w:pPr>
        <w:tabs>
          <w:tab w:val="num" w:pos="567"/>
        </w:tabs>
        <w:spacing w:after="0" w:line="240" w:lineRule="auto"/>
        <w:ind w:left="720"/>
        <w:contextualSpacing/>
        <w:rPr>
          <w:rFonts w:ascii="Tahoma" w:hAnsi="Tahoma" w:cs="Tahoma"/>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hAnsi="Tahoma" w:cs="Tahoma"/>
          <w:b/>
          <w:bCs/>
          <w:i/>
          <w:iCs/>
          <w:color w:val="000000"/>
        </w:rPr>
      </w:pPr>
      <w:r w:rsidRPr="007C1FDA">
        <w:rPr>
          <w:rFonts w:ascii="Tahoma" w:hAnsi="Tahoma" w:cs="Tahoma"/>
        </w:rPr>
        <w:t xml:space="preserve">Cabe destacar que las normas precitadas son de conocimiento público hacia todos los operadores de la norma y público en general con la finalidad que tengan pleno </w:t>
      </w:r>
      <w:r w:rsidRPr="007C1FDA">
        <w:rPr>
          <w:rFonts w:ascii="Tahoma" w:hAnsi="Tahoma" w:cs="Tahoma"/>
        </w:rPr>
        <w:lastRenderedPageBreak/>
        <w:t>conocimiento de sus contenidos y ejercer de esta manera los derechos a los que tuvieren lugar.</w:t>
      </w:r>
    </w:p>
    <w:p w:rsidR="007C1FDA" w:rsidRPr="007C1FDA" w:rsidRDefault="007C1FDA" w:rsidP="007C1FDA">
      <w:pPr>
        <w:tabs>
          <w:tab w:val="num" w:pos="567"/>
        </w:tabs>
        <w:spacing w:after="0" w:line="240" w:lineRule="auto"/>
        <w:ind w:left="720"/>
        <w:contextualSpacing/>
        <w:rPr>
          <w:rFonts w:ascii="Tahoma" w:eastAsia="Times New Roman" w:hAnsi="Tahoma" w:cs="Tahoma"/>
          <w:lang w:val="es-ES_tradnl" w:eastAsia="es-ES"/>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hAnsi="Tahoma" w:cs="Tahoma"/>
          <w:b/>
          <w:bCs/>
          <w:i/>
          <w:iCs/>
          <w:color w:val="000000"/>
        </w:rPr>
      </w:pPr>
      <w:r w:rsidRPr="007C1FDA">
        <w:rPr>
          <w:rFonts w:ascii="Tahoma" w:eastAsia="Times New Roman" w:hAnsi="Tahoma" w:cs="Tahoma"/>
          <w:lang w:val="es-ES_tradnl" w:eastAsia="es-ES"/>
        </w:rPr>
        <w:t>En ese orden de ideas, a fin de determinar si el Postor habría incurrido en la infracción incoada, es necesario determinar si a la fecha de presentación de propuestas, es decir, el 15 de Diciembre</w:t>
      </w:r>
      <w:r w:rsidRPr="007C1FDA">
        <w:rPr>
          <w:rFonts w:ascii="Tahoma" w:eastAsia="Times New Roman" w:hAnsi="Tahoma" w:cs="Tahoma"/>
          <w:lang w:eastAsia="es-ES"/>
        </w:rPr>
        <w:t xml:space="preserve"> de 2009, </w:t>
      </w:r>
      <w:r w:rsidRPr="007C1FDA">
        <w:rPr>
          <w:rFonts w:ascii="Tahoma" w:eastAsia="Times New Roman" w:hAnsi="Tahoma" w:cs="Tahoma"/>
          <w:lang w:val="es-ES_tradnl" w:eastAsia="es-ES"/>
        </w:rPr>
        <w:t xml:space="preserve">contaba con inscripción vigente en el Registro Nacional de Proveedores. </w:t>
      </w:r>
    </w:p>
    <w:p w:rsidR="007C1FDA" w:rsidRPr="007C1FDA" w:rsidRDefault="007C1FDA" w:rsidP="007C1FDA">
      <w:pPr>
        <w:spacing w:after="0" w:line="240" w:lineRule="auto"/>
        <w:ind w:left="720"/>
        <w:contextualSpacing/>
        <w:rPr>
          <w:rFonts w:ascii="Tahoma" w:eastAsia="Times New Roman" w:hAnsi="Tahoma" w:cs="Tahoma"/>
          <w:lang w:val="es-ES_tradnl" w:eastAsia="es-ES"/>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hAnsi="Tahoma" w:cs="Tahoma"/>
          <w:b/>
          <w:bCs/>
          <w:i/>
          <w:iCs/>
          <w:color w:val="000000"/>
        </w:rPr>
      </w:pPr>
      <w:r w:rsidRPr="007C1FDA">
        <w:rPr>
          <w:rFonts w:ascii="Tahoma" w:eastAsia="Times New Roman" w:hAnsi="Tahoma" w:cs="Tahoma"/>
          <w:lang w:val="es-ES_tradnl" w:eastAsia="es-ES"/>
        </w:rPr>
        <w:t>Al respecto, se desprende del Acta de Recepción, Apertura, Evaluación de Propuestas y Otorgamiento de la Buena Pro de fecha 22 de Diciembre del 2009, que se encuentra publicada en la misma fecha en la ficha del proceso de selección por Proceso de Competencia Menor</w:t>
      </w:r>
      <w:r w:rsidRPr="007C1FDA">
        <w:rPr>
          <w:rFonts w:ascii="Tahoma" w:eastAsia="Calibri" w:hAnsi="Tahoma" w:cs="Tahoma"/>
          <w:lang w:val="es-ES" w:eastAsia="es-ES"/>
        </w:rPr>
        <w:t xml:space="preserve"> Nº 0121-20098-OFP/PETROPERÚ</w:t>
      </w:r>
      <w:r w:rsidRPr="007C1FDA">
        <w:rPr>
          <w:rFonts w:ascii="Tahoma" w:eastAsia="Times New Roman" w:hAnsi="Tahoma" w:cs="Tahoma"/>
          <w:lang w:val="es-ES_tradnl" w:eastAsia="es-ES"/>
        </w:rPr>
        <w:t xml:space="preserve"> (Primera Convocatoria) en el SEACE, que en dicha oportunidad el Comité Especial encargado de su conducción señaló lo siguiente: </w:t>
      </w:r>
    </w:p>
    <w:p w:rsidR="007C1FDA" w:rsidRPr="007C1FDA" w:rsidRDefault="007C1FDA" w:rsidP="007C1FDA">
      <w:pPr>
        <w:spacing w:after="0" w:line="240" w:lineRule="auto"/>
        <w:ind w:left="720"/>
        <w:contextualSpacing/>
        <w:rPr>
          <w:rFonts w:ascii="Tahoma" w:eastAsia="Times New Roman" w:hAnsi="Tahoma" w:cs="Tahoma"/>
          <w:lang w:val="es-ES_tradnl" w:eastAsia="es-ES"/>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439"/>
      </w:tblGrid>
      <w:tr w:rsidR="007C1FDA" w:rsidRPr="007C1FDA" w:rsidTr="00C96A84">
        <w:trPr>
          <w:trHeight w:val="2540"/>
        </w:trPr>
        <w:tc>
          <w:tcPr>
            <w:tcW w:w="6439" w:type="dxa"/>
          </w:tcPr>
          <w:p w:rsidR="007C1FDA" w:rsidRPr="007C1FDA" w:rsidRDefault="007C1FDA" w:rsidP="007C1FDA">
            <w:pPr>
              <w:widowControl w:val="0"/>
              <w:suppressAutoHyphens/>
              <w:spacing w:after="0" w:line="240" w:lineRule="auto"/>
              <w:jc w:val="both"/>
              <w:rPr>
                <w:rFonts w:ascii="Tahoma" w:eastAsia="Times New Roman" w:hAnsi="Tahoma" w:cs="Tahoma"/>
                <w:lang w:val="es-ES_tradnl" w:eastAsia="es-ES"/>
              </w:rPr>
            </w:pPr>
          </w:p>
          <w:p w:rsidR="007C1FDA" w:rsidRPr="007C1FDA" w:rsidRDefault="007C1FDA" w:rsidP="007C1FDA">
            <w:pPr>
              <w:widowControl w:val="0"/>
              <w:suppressAutoHyphens/>
              <w:spacing w:after="0" w:line="240" w:lineRule="auto"/>
              <w:ind w:right="72"/>
              <w:jc w:val="both"/>
              <w:rPr>
                <w:rFonts w:ascii="Tahoma" w:eastAsia="Times New Roman" w:hAnsi="Tahoma" w:cs="Tahoma"/>
                <w:i/>
                <w:lang w:val="es-ES_tradnl" w:eastAsia="es-ES"/>
              </w:rPr>
            </w:pPr>
            <w:r w:rsidRPr="007C1FDA">
              <w:rPr>
                <w:rFonts w:ascii="Tahoma" w:eastAsia="Times New Roman" w:hAnsi="Tahoma" w:cs="Tahoma"/>
                <w:i/>
                <w:lang w:val="es-ES_tradnl" w:eastAsia="es-ES"/>
              </w:rPr>
              <w:t xml:space="preserve">    “(…)</w:t>
            </w:r>
          </w:p>
          <w:p w:rsidR="007C1FDA" w:rsidRPr="007C1FDA" w:rsidRDefault="007C1FDA" w:rsidP="007C1FDA">
            <w:pPr>
              <w:tabs>
                <w:tab w:val="left" w:pos="900"/>
              </w:tabs>
              <w:spacing w:after="0" w:line="240" w:lineRule="auto"/>
              <w:ind w:left="400" w:right="582"/>
              <w:jc w:val="both"/>
              <w:rPr>
                <w:rFonts w:ascii="Tahoma" w:hAnsi="Tahoma" w:cs="Tahoma"/>
                <w:i/>
              </w:rPr>
            </w:pPr>
            <w:r w:rsidRPr="007C1FDA">
              <w:rPr>
                <w:rFonts w:ascii="Tahoma" w:hAnsi="Tahoma" w:cs="Tahoma"/>
                <w:i/>
              </w:rPr>
              <w:t>La empresa CONTEMAR S.A.C. indicó en el literal g) de su Declaración Jurada de Cumplimiento, el número de inscripción electrónica S0000854 de su Registro Nacional de Proveedores del OSCE como proveedor de servicios; sin embargo, al verificar el estado situacional de la vigencia de dicha inscripción, se comprobó que ésta había quedado suspendida el 19/11/2009 no encontrándose vigentea la fecha de presentación de propuestas (15/12/2009).</w:t>
            </w:r>
          </w:p>
          <w:p w:rsidR="007C1FDA" w:rsidRPr="007C1FDA" w:rsidRDefault="007C1FDA" w:rsidP="007C1FDA">
            <w:pPr>
              <w:tabs>
                <w:tab w:val="left" w:pos="900"/>
              </w:tabs>
              <w:spacing w:after="0" w:line="240" w:lineRule="auto"/>
              <w:ind w:left="400" w:right="582"/>
              <w:jc w:val="both"/>
              <w:rPr>
                <w:rFonts w:ascii="Tahoma" w:hAnsi="Tahoma" w:cs="Tahoma"/>
                <w:i/>
              </w:rPr>
            </w:pPr>
          </w:p>
          <w:p w:rsidR="007C1FDA" w:rsidRPr="007C1FDA" w:rsidRDefault="007C1FDA" w:rsidP="007C1FDA">
            <w:pPr>
              <w:tabs>
                <w:tab w:val="left" w:pos="900"/>
              </w:tabs>
              <w:spacing w:after="0" w:line="240" w:lineRule="auto"/>
              <w:ind w:left="400" w:right="582"/>
              <w:jc w:val="both"/>
              <w:rPr>
                <w:rFonts w:ascii="Tahoma" w:hAnsi="Tahoma" w:cs="Tahoma"/>
              </w:rPr>
            </w:pPr>
            <w:r w:rsidRPr="007C1FDA">
              <w:rPr>
                <w:rFonts w:ascii="Tahoma" w:hAnsi="Tahoma" w:cs="Tahoma"/>
                <w:i/>
              </w:rPr>
              <w:t xml:space="preserve">En ese sentido, la propuesta de la empresa CONTEMAR S.A.C. se tiene como no admitida, de conformidad con la Directiva No.009-2007-CONSUCODE/PRE, “Procedimientos y Plazos para la Renovación de la Inscripción de los Proveedores de Bienes y/o de Servicios en el Registro Nacional de Proveedores (RNP)”, aprobada mediante Resolución No. 222-2007-CONSUCODE-PRE del 20 de abril de 2007. </w:t>
            </w:r>
            <w:r w:rsidRPr="007C1FDA">
              <w:rPr>
                <w:rFonts w:ascii="Tahoma" w:eastAsia="Times New Roman" w:hAnsi="Tahoma" w:cs="Tahoma"/>
                <w:lang w:val="es-ES_tradnl" w:eastAsia="es-ES"/>
              </w:rPr>
              <w:t>(…)”</w:t>
            </w:r>
          </w:p>
        </w:tc>
      </w:tr>
    </w:tbl>
    <w:p w:rsidR="007C1FDA" w:rsidRPr="007C1FDA" w:rsidRDefault="007C1FDA" w:rsidP="007C1FDA">
      <w:pPr>
        <w:widowControl w:val="0"/>
        <w:suppressAutoHyphens/>
        <w:spacing w:after="0" w:line="240" w:lineRule="auto"/>
        <w:ind w:left="708"/>
        <w:jc w:val="both"/>
        <w:rPr>
          <w:rFonts w:ascii="Tahoma" w:eastAsia="Times New Roman" w:hAnsi="Tahoma" w:cs="Tahoma"/>
          <w:lang w:val="es-ES_tradnl" w:eastAsia="es-ES"/>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hAnsi="Tahoma" w:cs="Tahoma"/>
          <w:b/>
          <w:bCs/>
          <w:i/>
          <w:iCs/>
          <w:color w:val="000000"/>
        </w:rPr>
      </w:pPr>
      <w:r w:rsidRPr="007C1FDA">
        <w:rPr>
          <w:rFonts w:ascii="Tahoma" w:eastAsia="Times New Roman" w:hAnsi="Tahoma" w:cs="Tahoma"/>
          <w:lang w:val="es-ES_tradnl" w:eastAsia="es-ES"/>
        </w:rPr>
        <w:t xml:space="preserve">Estando a la evidencia de los hechos expuestos, y efectuada la verificación del caso, se tiene que de la revisión de la ficha correspondiente al Registro Nacional de Proveedores del Postor, este Colegiado ha podido constatar que si bien el 15 de </w:t>
      </w:r>
      <w:r w:rsidRPr="007C1FDA">
        <w:rPr>
          <w:rFonts w:ascii="Tahoma" w:eastAsia="Times New Roman" w:hAnsi="Tahoma" w:cs="Tahoma"/>
          <w:lang w:val="es-ES_tradnl" w:eastAsia="es-ES"/>
        </w:rPr>
        <w:lastRenderedPageBreak/>
        <w:t xml:space="preserve">Octubre de 2009 se generó el pago correspondiente para la tramitación de renovación de inscripción, el </w:t>
      </w:r>
      <w:r w:rsidRPr="007C1FDA">
        <w:rPr>
          <w:rFonts w:ascii="Tahoma" w:eastAsia="Times New Roman" w:hAnsi="Tahoma" w:cs="Tahoma"/>
          <w:b/>
          <w:u w:val="single"/>
          <w:lang w:val="es-ES_tradnl" w:eastAsia="es-ES"/>
        </w:rPr>
        <w:t>19 de Noviembre del 2009 la inscripciónfue suspendida</w:t>
      </w:r>
      <w:r w:rsidRPr="007C1FDA">
        <w:rPr>
          <w:rFonts w:ascii="Tahoma" w:eastAsia="Times New Roman" w:hAnsi="Tahoma" w:cs="Tahoma"/>
          <w:lang w:val="es-ES_tradnl" w:eastAsia="es-ES"/>
        </w:rPr>
        <w:t xml:space="preserve"> por no haber subsanado las observaciones dentro del plazo otorgado, suspensión que fue levantada recién </w:t>
      </w:r>
      <w:r w:rsidRPr="007C1FDA">
        <w:rPr>
          <w:rFonts w:ascii="Tahoma" w:eastAsia="Times New Roman" w:hAnsi="Tahoma" w:cs="Tahoma"/>
          <w:b/>
          <w:u w:val="single"/>
          <w:lang w:val="es-ES_tradnl" w:eastAsia="es-ES"/>
        </w:rPr>
        <w:t>el día 16 de Febrero de 2010, fecha en la cual se reanudó el periodo de vigencia de la inscripción</w:t>
      </w:r>
      <w:r w:rsidRPr="007C1FDA">
        <w:rPr>
          <w:rFonts w:ascii="Tahoma" w:eastAsia="Times New Roman" w:hAnsi="Tahoma" w:cs="Tahoma"/>
          <w:lang w:val="es-ES_tradnl" w:eastAsia="es-ES"/>
        </w:rPr>
        <w:t>.</w:t>
      </w:r>
    </w:p>
    <w:p w:rsidR="007C1FDA" w:rsidRPr="007C1FDA" w:rsidRDefault="007C1FDA" w:rsidP="007C1FDA">
      <w:pPr>
        <w:spacing w:after="0" w:line="240" w:lineRule="auto"/>
        <w:ind w:left="567"/>
        <w:jc w:val="both"/>
        <w:rPr>
          <w:rFonts w:ascii="Tahoma" w:hAnsi="Tahoma" w:cs="Tahoma"/>
          <w:b/>
          <w:bCs/>
          <w:i/>
          <w:iCs/>
          <w:color w:val="000000"/>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hAnsi="Tahoma" w:cs="Tahoma"/>
          <w:b/>
          <w:bCs/>
          <w:i/>
          <w:iCs/>
          <w:color w:val="000000"/>
        </w:rPr>
      </w:pPr>
      <w:r w:rsidRPr="007C1FDA">
        <w:rPr>
          <w:rFonts w:ascii="Tahoma" w:eastAsia="Times New Roman" w:hAnsi="Tahoma" w:cs="Tahoma"/>
          <w:lang w:val="es-ES_tradnl" w:eastAsia="es-ES"/>
        </w:rPr>
        <w:t xml:space="preserve">Resulta indiscutible, entonces, que el día </w:t>
      </w:r>
      <w:r w:rsidRPr="007C1FDA">
        <w:rPr>
          <w:rFonts w:ascii="Tahoma" w:eastAsia="Times New Roman" w:hAnsi="Tahoma" w:cs="Tahoma"/>
          <w:lang w:eastAsia="es-ES"/>
        </w:rPr>
        <w:t>15 de Diciembre de 2009</w:t>
      </w:r>
      <w:r w:rsidRPr="007C1FDA">
        <w:rPr>
          <w:rFonts w:ascii="Tahoma" w:eastAsia="Times New Roman" w:hAnsi="Tahoma" w:cs="Tahoma"/>
          <w:lang w:val="es-ES_tradnl" w:eastAsia="es-ES"/>
        </w:rPr>
        <w:t>, fecha en la que el Postor presentó la propuesta correspondiente con el fin de participar en el Proceso por Competencia Menor Nº CME-0121-2009-OFP/PETROPERÚ (Primera Convocatoria), su inscripción en el Registro Nacional de Proveedores se encontraba suspendida, motivo por el cual no podía participar en un proceso de selección.</w:t>
      </w:r>
    </w:p>
    <w:p w:rsidR="007C1FDA" w:rsidRPr="007C1FDA" w:rsidRDefault="007C1FDA" w:rsidP="007C1FDA">
      <w:pPr>
        <w:tabs>
          <w:tab w:val="num" w:pos="567"/>
        </w:tabs>
        <w:spacing w:after="0" w:line="240" w:lineRule="auto"/>
        <w:ind w:left="720"/>
        <w:contextualSpacing/>
        <w:rPr>
          <w:rFonts w:ascii="Tahoma" w:eastAsia="Times New Roman" w:hAnsi="Tahoma" w:cs="Tahoma"/>
          <w:lang w:val="es-ES_tradnl" w:eastAsia="es-ES"/>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hAnsi="Tahoma" w:cs="Tahoma"/>
          <w:b/>
          <w:bCs/>
          <w:i/>
          <w:iCs/>
          <w:color w:val="000000"/>
        </w:rPr>
      </w:pPr>
      <w:r w:rsidRPr="007C1FDA">
        <w:rPr>
          <w:rFonts w:ascii="Tahoma" w:eastAsia="Times New Roman" w:hAnsi="Tahoma" w:cs="Tahoma"/>
          <w:lang w:val="es-ES_tradnl" w:eastAsia="es-ES"/>
        </w:rPr>
        <w:t xml:space="preserve">Al respecto, es oportuno mencionar que de acuerdo a lo establecido en la Directiva Nº 012-2006-CONSUCODE/PRE, aprobada por Resolución N.º 592-2006-CONSUCODE/PRE y modificada por Resolución Nº 114-2007-CONSUCODE/PRE y a la Directiva Nº 009-2007-CONSUCODE/PRE aprobada por Resolución 222-2007- CONSUCODE/PRE, </w:t>
      </w:r>
      <w:r w:rsidRPr="007C1FDA">
        <w:rPr>
          <w:rFonts w:ascii="Tahoma" w:eastAsia="Times New Roman" w:hAnsi="Tahoma" w:cs="Tahoma"/>
          <w:b/>
          <w:u w:val="single"/>
          <w:lang w:val="es-ES_tradnl" w:eastAsia="es-ES"/>
        </w:rPr>
        <w:t>el proveedor con la inscripción/renovación suspendida por no cumplir con presentar los requisitos o subsanar las observaciones a éstos, no podrá ser postor o contratar con el Estado, en tanto no satisfaga su cumplimiento y se apruebe el trámite por el RNP.</w:t>
      </w:r>
    </w:p>
    <w:p w:rsidR="007C1FDA" w:rsidRPr="007C1FDA" w:rsidRDefault="007C1FDA" w:rsidP="007C1FDA">
      <w:pPr>
        <w:tabs>
          <w:tab w:val="num" w:pos="567"/>
        </w:tabs>
        <w:spacing w:after="0" w:line="240" w:lineRule="auto"/>
        <w:ind w:left="720"/>
        <w:contextualSpacing/>
        <w:rPr>
          <w:rFonts w:ascii="Tahoma" w:eastAsia="Times New Roman" w:hAnsi="Tahoma" w:cs="Tahoma"/>
          <w:lang w:val="es-ES_tradnl" w:eastAsia="es-ES"/>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hAnsi="Tahoma" w:cs="Tahoma"/>
          <w:b/>
          <w:bCs/>
          <w:i/>
          <w:iCs/>
          <w:color w:val="000000"/>
        </w:rPr>
      </w:pPr>
      <w:r w:rsidRPr="007C1FDA">
        <w:rPr>
          <w:rFonts w:ascii="Tahoma" w:eastAsia="Times New Roman" w:hAnsi="Tahoma" w:cs="Tahoma"/>
          <w:lang w:val="es-ES_tradnl" w:eastAsia="es-ES"/>
        </w:rPr>
        <w:t>Asimismo, y en lo que concierne al argumento traído a colación por el Postor, en el sentido que no habría tomado conocimiento de las observaciones efectuadas por el RNP, puesto que no habría revisado el correo electrónico que le indicara que su trámite había sido observado, y estando a lo informado por la Sub Dirección del Registro acerca de la comunicación de dicha observación por medios electrónicos, es importante recordar que conforme a las disposiciones especiales contempladas en las Directivas № 007-2006-CONSUCODE/PRE y № 009-2007/CONSUCODE/PRE</w:t>
      </w:r>
      <w:r w:rsidRPr="007C1FDA">
        <w:rPr>
          <w:rFonts w:ascii="Tahoma" w:eastAsia="Times New Roman" w:hAnsi="Tahoma" w:cs="Tahoma"/>
          <w:vertAlign w:val="superscript"/>
          <w:lang w:val="es-ES_tradnl" w:eastAsia="es-ES"/>
        </w:rPr>
        <w:footnoteReference w:id="7"/>
      </w:r>
      <w:r w:rsidRPr="007C1FDA">
        <w:rPr>
          <w:rFonts w:ascii="Tahoma" w:eastAsia="Times New Roman" w:hAnsi="Tahoma" w:cs="Tahoma"/>
          <w:lang w:val="es-ES_tradnl" w:eastAsia="es-ES"/>
        </w:rPr>
        <w:t xml:space="preserve">, que se encuentran publicadas en la página web del OSCE y que establecieron los lineamientos respecto del procedimiento y plazos para la inscripción y renovación de inscripción de proveedores de bienes y/o de servicios en el Registro Nacional de Proveedores (RNP), la no presentación de los requisitos exigidos en el TUPA de CONSUCODE dentro de los quince (15) días siguientes del pago de la tasa y, </w:t>
      </w:r>
      <w:r w:rsidRPr="007C1FDA">
        <w:rPr>
          <w:rFonts w:ascii="Tahoma" w:eastAsia="Times New Roman" w:hAnsi="Tahoma" w:cs="Tahoma"/>
          <w:b/>
          <w:lang w:val="es-ES_tradnl" w:eastAsia="es-ES"/>
        </w:rPr>
        <w:t>en los casos en los cuales se presentó lo solicitado y éstos fueron observados</w:t>
      </w:r>
      <w:r w:rsidRPr="007C1FDA">
        <w:rPr>
          <w:rFonts w:ascii="Tahoma" w:eastAsia="Times New Roman" w:hAnsi="Tahoma" w:cs="Tahoma"/>
          <w:lang w:val="es-ES_tradnl" w:eastAsia="es-ES"/>
        </w:rPr>
        <w:t xml:space="preserve">, </w:t>
      </w:r>
      <w:r w:rsidRPr="007C1FDA">
        <w:rPr>
          <w:rFonts w:ascii="Tahoma" w:eastAsia="Times New Roman" w:hAnsi="Tahoma" w:cs="Tahoma"/>
          <w:lang w:val="es-ES_tradnl" w:eastAsia="es-ES"/>
        </w:rPr>
        <w:lastRenderedPageBreak/>
        <w:t xml:space="preserve">vencido el plazo para el levantamiento de dicha observación, generará la suspensión de la inscripción. </w:t>
      </w:r>
    </w:p>
    <w:p w:rsidR="007C1FDA" w:rsidRPr="007C1FDA" w:rsidRDefault="007C1FDA" w:rsidP="007C1FDA">
      <w:pPr>
        <w:tabs>
          <w:tab w:val="num" w:pos="567"/>
        </w:tabs>
        <w:spacing w:after="0" w:line="240" w:lineRule="auto"/>
        <w:ind w:left="567"/>
        <w:jc w:val="both"/>
        <w:rPr>
          <w:rFonts w:ascii="Tahoma" w:hAnsi="Tahoma" w:cs="Tahoma"/>
          <w:b/>
          <w:bCs/>
          <w:i/>
          <w:iCs/>
          <w:color w:val="000000"/>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hAnsi="Tahoma" w:cs="Tahoma"/>
          <w:b/>
          <w:bCs/>
          <w:i/>
          <w:iCs/>
          <w:color w:val="000000"/>
        </w:rPr>
      </w:pPr>
      <w:r w:rsidRPr="007C1FDA">
        <w:rPr>
          <w:rFonts w:ascii="Tahoma" w:eastAsia="Times New Roman" w:hAnsi="Tahoma" w:cs="Tahoma"/>
          <w:lang w:val="es-ES_tradnl" w:eastAsia="es-ES"/>
        </w:rPr>
        <w:t xml:space="preserve">De igual manera, en los citados dispositivos se dispuso que en los casos en los cuales se advierta algún error en la documentación presentada, </w:t>
      </w:r>
      <w:r w:rsidRPr="007C1FDA">
        <w:rPr>
          <w:rFonts w:ascii="Tahoma" w:eastAsia="Times New Roman" w:hAnsi="Tahoma" w:cs="Tahoma"/>
          <w:b/>
          <w:lang w:val="es-ES_tradnl" w:eastAsia="es-ES"/>
        </w:rPr>
        <w:t>será comunicado a través del correo electrónico asignado por el CONSUCODE</w:t>
      </w:r>
      <w:r w:rsidRPr="007C1FDA">
        <w:rPr>
          <w:rFonts w:ascii="Tahoma" w:eastAsia="Times New Roman" w:hAnsi="Tahoma" w:cs="Tahoma"/>
          <w:b/>
          <w:vertAlign w:val="superscript"/>
          <w:lang w:val="es-ES_tradnl" w:eastAsia="es-ES"/>
        </w:rPr>
        <w:footnoteReference w:id="8"/>
      </w:r>
      <w:r w:rsidRPr="007C1FDA">
        <w:rPr>
          <w:rFonts w:ascii="Tahoma" w:eastAsia="Times New Roman" w:hAnsi="Tahoma" w:cs="Tahoma"/>
          <w:b/>
          <w:lang w:val="es-ES_tradnl" w:eastAsia="es-ES"/>
        </w:rPr>
        <w:t xml:space="preserve"> (hoy OSCE), cuando inició su inscripción, debiendo levantar dichas observaciones dentro del plazo establecido</w:t>
      </w:r>
      <w:r w:rsidRPr="007C1FDA">
        <w:rPr>
          <w:rFonts w:ascii="Tahoma" w:eastAsia="Times New Roman" w:hAnsi="Tahoma" w:cs="Tahoma"/>
          <w:lang w:val="es-ES_tradnl" w:eastAsia="es-ES"/>
        </w:rPr>
        <w:t>, situación que ocurrió en el caso de autos, por lo que carece de sustento fáctico y legal lo alegado por el Postor en el sentido que no habría tomado conocimiento de las observaciones formuladas respecto de su trámite.</w:t>
      </w:r>
    </w:p>
    <w:p w:rsidR="007C1FDA" w:rsidRPr="007C1FDA" w:rsidRDefault="007C1FDA" w:rsidP="007C1FDA">
      <w:pPr>
        <w:spacing w:after="0" w:line="240" w:lineRule="auto"/>
        <w:ind w:left="720"/>
        <w:contextualSpacing/>
        <w:rPr>
          <w:rFonts w:ascii="Tahoma" w:eastAsia="Times New Roman" w:hAnsi="Tahoma" w:cs="Tahoma"/>
          <w:lang w:eastAsia="es-ES"/>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hAnsi="Tahoma" w:cs="Tahoma"/>
          <w:b/>
          <w:bCs/>
          <w:i/>
          <w:iCs/>
          <w:color w:val="000000"/>
        </w:rPr>
      </w:pPr>
      <w:r w:rsidRPr="007C1FDA">
        <w:rPr>
          <w:rFonts w:ascii="Tahoma" w:eastAsia="Times New Roman" w:hAnsi="Tahoma" w:cs="Tahoma"/>
          <w:lang w:eastAsia="es-ES"/>
        </w:rPr>
        <w:t xml:space="preserve">En atención a lo expuesto, al haberse acreditado que el Postor no contaba con inscripción vigente en el Registro Nacional de Proveedores a la fecha en que participó en el </w:t>
      </w:r>
      <w:r w:rsidRPr="007C1FDA">
        <w:rPr>
          <w:rFonts w:ascii="Tahoma" w:eastAsia="Times New Roman" w:hAnsi="Tahoma" w:cs="Tahoma"/>
          <w:lang w:val="es-ES_tradnl" w:eastAsia="es-ES"/>
        </w:rPr>
        <w:t>Proceso por Competencia Menor Nº CME-0121-2009-OFP/PETROPERÚ (Primera Convocatoria)</w:t>
      </w:r>
      <w:r w:rsidRPr="007C1FDA">
        <w:rPr>
          <w:rFonts w:ascii="Tahoma" w:eastAsia="Times New Roman" w:hAnsi="Tahoma" w:cs="Tahoma"/>
          <w:lang w:eastAsia="es-ES"/>
        </w:rPr>
        <w:t xml:space="preserve">, este Colegiado concluye que en el caso bajo análisis se ha configurado la infracción tipificada en el literal e) del artículo 237 del Reglamento, por tanto debe imponerse la sanción </w:t>
      </w:r>
      <w:r w:rsidRPr="007C1FDA">
        <w:rPr>
          <w:rFonts w:ascii="Tahoma" w:eastAsia="Times New Roman" w:hAnsi="Tahoma" w:cs="Tahoma"/>
          <w:lang w:val="es-ES_tradnl" w:eastAsia="es-ES"/>
        </w:rPr>
        <w:t>administrativa correspondiente.</w:t>
      </w:r>
    </w:p>
    <w:p w:rsidR="007C1FDA" w:rsidRPr="007C1FDA" w:rsidRDefault="007C1FDA" w:rsidP="007C1FDA">
      <w:pPr>
        <w:tabs>
          <w:tab w:val="num" w:pos="567"/>
        </w:tabs>
        <w:spacing w:after="0" w:line="240" w:lineRule="auto"/>
        <w:ind w:left="720"/>
        <w:contextualSpacing/>
        <w:rPr>
          <w:rFonts w:ascii="Tahoma" w:eastAsia="Times New Roman" w:hAnsi="Tahoma" w:cs="Tahoma"/>
          <w:lang w:val="es-ES" w:eastAsia="es-PE"/>
        </w:rPr>
      </w:pPr>
    </w:p>
    <w:p w:rsidR="007C1FDA" w:rsidRPr="007C1FDA" w:rsidRDefault="007C1FDA" w:rsidP="007C1FDA">
      <w:pPr>
        <w:tabs>
          <w:tab w:val="num" w:pos="567"/>
        </w:tabs>
        <w:spacing w:after="0" w:line="240" w:lineRule="auto"/>
        <w:ind w:left="567"/>
        <w:jc w:val="both"/>
        <w:rPr>
          <w:rFonts w:ascii="Tahoma" w:eastAsia="Times New Roman" w:hAnsi="Tahoma" w:cs="Tahoma"/>
          <w:b/>
          <w:lang w:val="es-ES" w:eastAsia="es-ES"/>
        </w:rPr>
      </w:pPr>
      <w:r w:rsidRPr="007C1FDA">
        <w:rPr>
          <w:rFonts w:ascii="Tahoma" w:eastAsia="Times New Roman" w:hAnsi="Tahoma" w:cs="Tahoma"/>
          <w:b/>
          <w:lang w:val="es-ES" w:eastAsia="es-ES"/>
        </w:rPr>
        <w:t>RESPECTO DE LA CAUSAL DE PRESENTACIÓN DE DOCUMENTACIÓN FALSA O INEXACTA.</w:t>
      </w:r>
    </w:p>
    <w:p w:rsidR="007C1FDA" w:rsidRPr="007C1FDA" w:rsidRDefault="007C1FDA" w:rsidP="007C1FDA">
      <w:pPr>
        <w:tabs>
          <w:tab w:val="num" w:pos="567"/>
        </w:tabs>
        <w:spacing w:after="0" w:line="240" w:lineRule="auto"/>
        <w:ind w:left="567"/>
        <w:jc w:val="both"/>
        <w:rPr>
          <w:rFonts w:ascii="Tahoma" w:eastAsia="Times New Roman" w:hAnsi="Tahoma" w:cs="Tahoma"/>
          <w:b/>
          <w:lang w:val="es-ES" w:eastAsia="es-ES"/>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hAnsi="Tahoma" w:cs="Tahoma"/>
          <w:b/>
          <w:bCs/>
          <w:i/>
          <w:iCs/>
          <w:color w:val="000000"/>
        </w:rPr>
      </w:pPr>
      <w:r w:rsidRPr="007C1FDA">
        <w:rPr>
          <w:rFonts w:ascii="Tahoma" w:eastAsia="Times New Roman" w:hAnsi="Tahoma" w:cs="Tahoma"/>
          <w:lang w:val="es-ES" w:eastAsia="es-PE"/>
        </w:rPr>
        <w:t xml:space="preserve">En el presente procedimiento administrativo sancionador iniciado contra el Postor se le ha imputado  haber presentado documentación falsa y/o información inexacta consistente en la </w:t>
      </w:r>
      <w:r w:rsidRPr="007C1FDA">
        <w:rPr>
          <w:rFonts w:ascii="Tahoma" w:eastAsia="Times New Roman" w:hAnsi="Tahoma" w:cs="Tahoma"/>
          <w:lang w:val="es-ES_tradnl" w:eastAsia="es-ES"/>
        </w:rPr>
        <w:t>Declaración Jurada de Cumplimiento de fecha 15 de Diciembre de 2009</w:t>
      </w:r>
      <w:r w:rsidRPr="007C1FDA">
        <w:rPr>
          <w:rFonts w:ascii="Tahoma" w:eastAsia="Times New Roman" w:hAnsi="Tahoma" w:cs="Tahoma"/>
          <w:lang w:val="es-ES" w:eastAsia="es-PE"/>
        </w:rPr>
        <w:t>.</w:t>
      </w:r>
    </w:p>
    <w:p w:rsidR="007C1FDA" w:rsidRPr="007C1FDA" w:rsidRDefault="007C1FDA" w:rsidP="007C1FDA">
      <w:pPr>
        <w:tabs>
          <w:tab w:val="num" w:pos="567"/>
        </w:tabs>
        <w:spacing w:after="0" w:line="240" w:lineRule="auto"/>
        <w:ind w:left="567"/>
        <w:jc w:val="both"/>
        <w:rPr>
          <w:rFonts w:ascii="Tahoma" w:hAnsi="Tahoma" w:cs="Tahoma"/>
          <w:b/>
          <w:bCs/>
          <w:i/>
          <w:iCs/>
          <w:color w:val="000000"/>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hAnsi="Tahoma" w:cs="Tahoma"/>
          <w:b/>
          <w:bCs/>
          <w:i/>
          <w:iCs/>
          <w:color w:val="000000"/>
        </w:rPr>
      </w:pPr>
      <w:r w:rsidRPr="007C1FDA">
        <w:rPr>
          <w:rFonts w:ascii="Tahoma" w:hAnsi="Tahoma" w:cs="Tahoma"/>
        </w:rPr>
        <w:t xml:space="preserve">Al respecto, la infracción imputada al Postor corresponde a la señalada en el literal i) del Artículo 237 del Reglamento, la cual se configura con la presentación de documentación falsa o inexacta a las Entidades, al Tribunal o al OSCE, es decir con la sola afectación del </w:t>
      </w:r>
      <w:r w:rsidRPr="007C1FDA">
        <w:rPr>
          <w:rFonts w:ascii="Tahoma" w:hAnsi="Tahoma" w:cs="Tahoma"/>
          <w:i/>
        </w:rPr>
        <w:t xml:space="preserve">Principio de Presunción de </w:t>
      </w:r>
      <w:r w:rsidRPr="007C1FDA">
        <w:rPr>
          <w:rFonts w:ascii="Tahoma" w:hAnsi="Tahoma" w:cs="Tahoma"/>
        </w:rPr>
        <w:t>Veracidad</w:t>
      </w:r>
      <w:r w:rsidRPr="007C1FDA">
        <w:rPr>
          <w:rFonts w:ascii="Tahoma" w:hAnsi="Tahoma" w:cs="Tahoma"/>
          <w:vertAlign w:val="superscript"/>
        </w:rPr>
        <w:footnoteReference w:id="9"/>
      </w:r>
      <w:r w:rsidRPr="007C1FDA">
        <w:rPr>
          <w:rFonts w:ascii="Tahoma" w:hAnsi="Tahoma" w:cs="Tahoma"/>
        </w:rPr>
        <w:t xml:space="preserve"> consagrado en el acápite 1.7 del Artículo IV del Título Preliminar de la Ley № 27444, del Procedimiento </w:t>
      </w:r>
      <w:r w:rsidRPr="007C1FDA">
        <w:rPr>
          <w:rFonts w:ascii="Tahoma" w:hAnsi="Tahoma" w:cs="Tahoma"/>
        </w:rPr>
        <w:lastRenderedPageBreak/>
        <w:t xml:space="preserve">Administrativo General, sin que la norma exija otros factores adicionales, por cuanto la Administración Pública presume que todos los documentos y declaraciones formuladas por los administrados responden a la verdad de los hechos que ellos afirman. </w:t>
      </w:r>
    </w:p>
    <w:p w:rsidR="007C1FDA" w:rsidRPr="007C1FDA" w:rsidRDefault="007C1FDA" w:rsidP="007C1FDA">
      <w:pPr>
        <w:spacing w:after="0" w:line="240" w:lineRule="auto"/>
        <w:ind w:left="720"/>
        <w:contextualSpacing/>
        <w:rPr>
          <w:rFonts w:ascii="Tahoma" w:hAnsi="Tahoma" w:cs="Tahoma"/>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hAnsi="Tahoma" w:cs="Tahoma"/>
          <w:b/>
          <w:bCs/>
          <w:i/>
          <w:iCs/>
          <w:color w:val="000000"/>
        </w:rPr>
      </w:pPr>
      <w:r w:rsidRPr="007C1FDA">
        <w:rPr>
          <w:rFonts w:ascii="Tahoma" w:hAnsi="Tahoma" w:cs="Tahoma"/>
        </w:rPr>
        <w:t xml:space="preserve">Asimismo, </w:t>
      </w:r>
      <w:r w:rsidRPr="007C1FDA">
        <w:rPr>
          <w:rFonts w:ascii="Tahoma" w:hAnsi="Tahoma" w:cs="Tahoma"/>
          <w:lang w:val="es-MX"/>
        </w:rPr>
        <w:t xml:space="preserve">el artículo 42 de la Ley del Procedimiento Administrativo General </w:t>
      </w:r>
      <w:r w:rsidRPr="007C1FDA">
        <w:rPr>
          <w:rFonts w:ascii="Tahoma" w:hAnsi="Tahoma" w:cs="Tahoma"/>
        </w:rPr>
        <w:t>establece</w:t>
      </w:r>
      <w:r w:rsidRPr="007C1FDA">
        <w:rPr>
          <w:rFonts w:ascii="Tahoma" w:hAnsi="Tahoma" w:cs="Tahoma"/>
          <w:lang w:val="es-MX"/>
        </w:rPr>
        <w:t xml:space="preserve"> que todas las declaraciones juradas, los documentos sucedáneos presentados y la información incluida en los escritos y formularios que presenten los administrados para la realización de procedimientos administrativos, </w:t>
      </w:r>
      <w:r w:rsidRPr="007C1FDA">
        <w:rPr>
          <w:rFonts w:ascii="Tahoma" w:hAnsi="Tahoma" w:cs="Tahoma"/>
          <w:b/>
          <w:lang w:val="es-MX"/>
        </w:rPr>
        <w:t>se presumen verificados por quien hace uso de ellos, así como de contenido veraz para fines del procedimiento administrativo</w:t>
      </w:r>
      <w:r w:rsidRPr="007C1FDA">
        <w:rPr>
          <w:rFonts w:ascii="Tahoma" w:hAnsi="Tahoma" w:cs="Tahoma"/>
          <w:lang w:val="es-MX"/>
        </w:rPr>
        <w:t xml:space="preserve">. Sin embargo, esta presunción es </w:t>
      </w:r>
      <w:r w:rsidRPr="007C1FDA">
        <w:rPr>
          <w:rFonts w:ascii="Tahoma" w:hAnsi="Tahoma" w:cs="Tahoma"/>
          <w:i/>
          <w:lang w:val="es-MX"/>
        </w:rPr>
        <w:t>juris tantum</w:t>
      </w:r>
      <w:r w:rsidRPr="007C1FDA">
        <w:rPr>
          <w:rFonts w:ascii="Tahoma" w:hAnsi="Tahoma" w:cs="Tahoma"/>
          <w:lang w:val="es-MX"/>
        </w:rPr>
        <w:t xml:space="preserve"> pues admite prueba en contrario, en la medida que es atribución de la Administración Pública verificar la documentación presentada cuando existen indicios suficientes que la información consignada no se ajusta a los hechos.</w:t>
      </w:r>
    </w:p>
    <w:p w:rsidR="007C1FDA" w:rsidRPr="007C1FDA" w:rsidRDefault="007C1FDA" w:rsidP="007C1FDA">
      <w:pPr>
        <w:tabs>
          <w:tab w:val="num" w:pos="567"/>
        </w:tabs>
        <w:spacing w:after="0" w:line="240" w:lineRule="auto"/>
        <w:ind w:left="720"/>
        <w:contextualSpacing/>
        <w:rPr>
          <w:rFonts w:ascii="Tahoma" w:hAnsi="Tahoma" w:cs="Tahoma"/>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hAnsi="Tahoma" w:cs="Tahoma"/>
          <w:b/>
          <w:bCs/>
          <w:i/>
          <w:iCs/>
          <w:color w:val="000000"/>
        </w:rPr>
      </w:pPr>
      <w:r w:rsidRPr="007C1FDA">
        <w:rPr>
          <w:rFonts w:ascii="Tahoma" w:hAnsi="Tahoma" w:cs="Tahoma"/>
        </w:rPr>
        <w:t xml:space="preserve">Ahora bien, para la configuración del supuesto de presentación de documentación falsa, se requiere previamente acreditar su falsedad, esto es, que el documento o los documentos cuestionados no hayan sido expedidos por el órgano o agente emisor o que, siendo válidamente expedidos, hayan sido adulterados en su contenido. </w:t>
      </w:r>
    </w:p>
    <w:p w:rsidR="007C1FDA" w:rsidRPr="007C1FDA" w:rsidRDefault="007C1FDA" w:rsidP="007C1FDA">
      <w:pPr>
        <w:tabs>
          <w:tab w:val="num" w:pos="567"/>
        </w:tabs>
        <w:spacing w:after="0" w:line="240" w:lineRule="auto"/>
        <w:ind w:left="360"/>
        <w:jc w:val="both"/>
        <w:rPr>
          <w:rFonts w:ascii="Tahoma" w:eastAsia="Calibri" w:hAnsi="Tahoma" w:cs="Tahoma"/>
          <w:lang w:eastAsia="es-ES"/>
        </w:rPr>
      </w:pPr>
    </w:p>
    <w:p w:rsidR="007C1FDA" w:rsidRPr="007C1FDA" w:rsidRDefault="007C1FDA" w:rsidP="007C1FDA">
      <w:pPr>
        <w:tabs>
          <w:tab w:val="num" w:pos="567"/>
        </w:tabs>
        <w:spacing w:after="0" w:line="240" w:lineRule="auto"/>
        <w:ind w:left="567"/>
        <w:jc w:val="both"/>
        <w:rPr>
          <w:rFonts w:ascii="Tahoma" w:eastAsia="Calibri" w:hAnsi="Tahoma" w:cs="Tahoma"/>
          <w:lang w:eastAsia="es-ES"/>
        </w:rPr>
      </w:pPr>
      <w:r w:rsidRPr="007C1FDA">
        <w:rPr>
          <w:rFonts w:ascii="Tahoma" w:eastAsia="Calibri" w:hAnsi="Tahoma" w:cs="Tahoma"/>
          <w:lang w:eastAsia="es-ES"/>
        </w:rPr>
        <w:t xml:space="preserve">Por otro lado, la infracción referida a información inexacta se configura ante la presentación de documentos no concordantes con la realidad, que constituye una forma de falseamiento de la misma, a través del quebrantamiento de los </w:t>
      </w:r>
      <w:r w:rsidRPr="007C1FDA">
        <w:rPr>
          <w:rFonts w:ascii="Tahoma" w:eastAsia="Calibri" w:hAnsi="Tahoma" w:cs="Tahoma"/>
          <w:i/>
          <w:lang w:eastAsia="es-ES"/>
        </w:rPr>
        <w:t>Principios de Moralidad</w:t>
      </w:r>
      <w:r w:rsidRPr="007C1FDA">
        <w:rPr>
          <w:rFonts w:ascii="Tahoma" w:eastAsia="Calibri" w:hAnsi="Tahoma" w:cs="Tahoma"/>
          <w:lang w:eastAsia="es-ES"/>
        </w:rPr>
        <w:t xml:space="preserve"> y de </w:t>
      </w:r>
      <w:r w:rsidRPr="007C1FDA">
        <w:rPr>
          <w:rFonts w:ascii="Tahoma" w:eastAsia="Calibri" w:hAnsi="Tahoma" w:cs="Tahoma"/>
          <w:i/>
          <w:lang w:eastAsia="es-ES"/>
        </w:rPr>
        <w:t>Presunción de Veracidad</w:t>
      </w:r>
      <w:r w:rsidRPr="007C1FDA">
        <w:rPr>
          <w:rFonts w:ascii="Tahoma" w:eastAsia="Calibri" w:hAnsi="Tahoma" w:cs="Tahoma"/>
          <w:lang w:eastAsia="es-ES"/>
        </w:rPr>
        <w:t>.</w:t>
      </w:r>
    </w:p>
    <w:p w:rsidR="007C1FDA" w:rsidRPr="007C1FDA" w:rsidRDefault="007C1FDA" w:rsidP="007C1FDA">
      <w:pPr>
        <w:tabs>
          <w:tab w:val="num" w:pos="567"/>
        </w:tabs>
        <w:spacing w:after="0" w:line="240" w:lineRule="auto"/>
        <w:ind w:left="720"/>
        <w:contextualSpacing/>
        <w:rPr>
          <w:rFonts w:ascii="Tahoma" w:hAnsi="Tahoma" w:cs="Tahoma"/>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hAnsi="Tahoma" w:cs="Tahoma"/>
          <w:b/>
          <w:bCs/>
          <w:i/>
          <w:iCs/>
          <w:color w:val="000000"/>
        </w:rPr>
      </w:pPr>
      <w:r w:rsidRPr="007C1FDA">
        <w:rPr>
          <w:rFonts w:ascii="Tahoma" w:hAnsi="Tahoma" w:cs="Tahoma"/>
        </w:rPr>
        <w:t xml:space="preserve">En el caso materia de análisis, la imputación efectuada contra el Postor  está referida a que, éste había presentado la </w:t>
      </w:r>
      <w:r w:rsidRPr="007C1FDA">
        <w:rPr>
          <w:rFonts w:ascii="Tahoma" w:eastAsia="Times New Roman" w:hAnsi="Tahoma" w:cs="Tahoma"/>
          <w:lang w:val="es-ES_tradnl" w:eastAsia="es-ES"/>
        </w:rPr>
        <w:t>Declaración Jurada de Cumplimiento de fecha 15 de Diciembre de 2009, en la cual se indica que cuentan con inscripción electrónica vigente en el Registro nacional de Proveedores del OSCE como proveedor de servicios con el número de inscripción S0000854</w:t>
      </w:r>
      <w:r w:rsidRPr="007C1FDA">
        <w:rPr>
          <w:rFonts w:ascii="Tahoma" w:hAnsi="Tahoma" w:cs="Tahoma"/>
        </w:rPr>
        <w:t>, la cual está en el folio 009 del presente expediente administrativo.</w:t>
      </w:r>
    </w:p>
    <w:p w:rsidR="007C1FDA" w:rsidRPr="007C1FDA" w:rsidRDefault="007C1FDA" w:rsidP="007C1FDA">
      <w:pPr>
        <w:tabs>
          <w:tab w:val="num" w:pos="567"/>
        </w:tabs>
        <w:spacing w:after="0" w:line="240" w:lineRule="auto"/>
        <w:ind w:left="567"/>
        <w:jc w:val="both"/>
        <w:rPr>
          <w:rFonts w:ascii="Tahoma" w:hAnsi="Tahoma" w:cs="Tahoma"/>
          <w:b/>
          <w:bCs/>
          <w:i/>
          <w:iCs/>
          <w:color w:val="000000"/>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hAnsi="Tahoma" w:cs="Tahoma"/>
          <w:b/>
          <w:bCs/>
          <w:i/>
          <w:iCs/>
          <w:color w:val="000000"/>
        </w:rPr>
      </w:pPr>
      <w:r w:rsidRPr="007C1FDA">
        <w:rPr>
          <w:rFonts w:ascii="Tahoma" w:hAnsi="Tahoma" w:cs="Tahoma"/>
        </w:rPr>
        <w:t>En atención a esto y a los fundamentos expuestos en los párrafos precedentes, luego de haberse</w:t>
      </w:r>
      <w:r w:rsidRPr="007C1FDA">
        <w:rPr>
          <w:rFonts w:ascii="Tahoma" w:hAnsi="Tahoma" w:cs="Tahoma"/>
          <w:lang w:val="es-MX"/>
        </w:rPr>
        <w:t xml:space="preserve"> verificado que la empresa </w:t>
      </w:r>
      <w:r w:rsidRPr="007C1FDA">
        <w:rPr>
          <w:rFonts w:ascii="Tahoma" w:eastAsia="Times New Roman" w:hAnsi="Tahoma" w:cs="Tahoma"/>
          <w:lang w:val="es-ES_tradnl" w:eastAsia="es-ES"/>
        </w:rPr>
        <w:t>CONTEMAR S.A.C.</w:t>
      </w:r>
      <w:r w:rsidRPr="007C1FDA">
        <w:rPr>
          <w:rFonts w:ascii="Tahoma" w:hAnsi="Tahoma" w:cs="Tahoma"/>
        </w:rPr>
        <w:t xml:space="preserve">, no contaba con inscripción vigente en el RNP al momento de la presentación de sus propuestas, se puede comprobar </w:t>
      </w:r>
      <w:r w:rsidRPr="007C1FDA">
        <w:rPr>
          <w:rFonts w:ascii="Tahoma" w:hAnsi="Tahoma" w:cs="Tahoma"/>
          <w:lang w:val="es-MX"/>
        </w:rPr>
        <w:t xml:space="preserve"> que el documento presentado por el Postor contiene información inexacta</w:t>
      </w:r>
      <w:r w:rsidRPr="007C1FDA">
        <w:rPr>
          <w:rFonts w:ascii="Tahoma" w:hAnsi="Tahoma" w:cs="Tahoma"/>
        </w:rPr>
        <w:t xml:space="preserve">, y habiéndose podido corroborar que existe un vínculo entre la empresa </w:t>
      </w:r>
      <w:r w:rsidRPr="007C1FDA">
        <w:rPr>
          <w:rFonts w:ascii="Tahoma" w:eastAsia="Times New Roman" w:hAnsi="Tahoma" w:cs="Tahoma"/>
          <w:lang w:val="es-ES_tradnl" w:eastAsia="es-ES"/>
        </w:rPr>
        <w:t>CONTEMAR S.A.C.</w:t>
      </w:r>
      <w:r w:rsidRPr="007C1FDA">
        <w:rPr>
          <w:rFonts w:ascii="Tahoma" w:hAnsi="Tahoma" w:cs="Tahoma"/>
        </w:rPr>
        <w:t xml:space="preserve">, y la conducta prevista en la norma como infracción;  debe concluirse que la misma ha sido cometida y que su autor ha sido la empresa </w:t>
      </w:r>
      <w:r w:rsidRPr="007C1FDA">
        <w:rPr>
          <w:rFonts w:ascii="Tahoma" w:eastAsia="Times New Roman" w:hAnsi="Tahoma" w:cs="Tahoma"/>
          <w:lang w:val="es-ES_tradnl" w:eastAsia="es-ES"/>
        </w:rPr>
        <w:t>CONTEMAR S.A.C.</w:t>
      </w:r>
    </w:p>
    <w:p w:rsidR="007C1FDA" w:rsidRPr="007C1FDA" w:rsidRDefault="007C1FDA" w:rsidP="007C1FDA">
      <w:pPr>
        <w:spacing w:after="0" w:line="240" w:lineRule="auto"/>
        <w:ind w:left="720"/>
        <w:contextualSpacing/>
        <w:rPr>
          <w:rFonts w:ascii="Tahoma" w:eastAsia="Times New Roman" w:hAnsi="Tahoma" w:cs="Tahoma"/>
          <w:lang w:val="es-MX" w:eastAsia="es-ES"/>
        </w:rPr>
      </w:pPr>
    </w:p>
    <w:p w:rsidR="007C1FDA" w:rsidRPr="007C1FDA" w:rsidRDefault="007C1FDA" w:rsidP="007C1FDA">
      <w:pPr>
        <w:widowControl w:val="0"/>
        <w:tabs>
          <w:tab w:val="num" w:pos="567"/>
        </w:tabs>
        <w:suppressAutoHyphens/>
        <w:spacing w:after="0" w:line="240" w:lineRule="auto"/>
        <w:ind w:left="567"/>
        <w:jc w:val="both"/>
        <w:rPr>
          <w:rFonts w:ascii="Tahoma" w:eastAsia="Times New Roman" w:hAnsi="Tahoma" w:cs="Tahoma"/>
          <w:b/>
          <w:lang w:val="es-ES" w:eastAsia="es-ES"/>
        </w:rPr>
      </w:pPr>
      <w:r w:rsidRPr="007C1FDA">
        <w:rPr>
          <w:rFonts w:ascii="Tahoma" w:eastAsia="Times New Roman" w:hAnsi="Tahoma" w:cs="Tahoma"/>
          <w:b/>
          <w:lang w:val="es-ES" w:eastAsia="es-ES"/>
        </w:rPr>
        <w:t>RESPECTO A LA GRADUACIÓN DE SANCIÓN</w:t>
      </w:r>
    </w:p>
    <w:p w:rsidR="007C1FDA" w:rsidRPr="007C1FDA" w:rsidRDefault="007C1FDA" w:rsidP="007C1FDA">
      <w:pPr>
        <w:tabs>
          <w:tab w:val="num" w:pos="567"/>
        </w:tabs>
        <w:spacing w:after="0" w:line="240" w:lineRule="auto"/>
        <w:ind w:left="567" w:hanging="567"/>
        <w:jc w:val="both"/>
        <w:rPr>
          <w:rFonts w:ascii="Tahoma" w:eastAsia="Times New Roman" w:hAnsi="Tahoma" w:cs="Tahoma"/>
          <w:u w:val="single"/>
          <w:lang w:val="es-ES_tradnl" w:eastAsia="es-ES"/>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eastAsia="Calibri" w:hAnsi="Tahoma" w:cs="Tahoma"/>
          <w:lang w:val="es-ES" w:eastAsia="es-ES"/>
        </w:rPr>
      </w:pPr>
      <w:r w:rsidRPr="007C1FDA">
        <w:rPr>
          <w:rFonts w:ascii="Tahoma" w:eastAsia="Calibri" w:hAnsi="Tahoma" w:cs="Tahoma"/>
          <w:lang w:eastAsia="es-ES"/>
        </w:rPr>
        <w:t>En ese contexto, habiendo el Postor incurrido en más de una infracción en el referido proceso de selección: i) haber participado</w:t>
      </w:r>
      <w:r w:rsidRPr="007C1FDA">
        <w:rPr>
          <w:rFonts w:ascii="Tahoma" w:eastAsia="Times New Roman" w:hAnsi="Tahoma" w:cs="Tahoma"/>
          <w:bCs/>
          <w:lang w:val="es-ES" w:eastAsia="es-ES"/>
        </w:rPr>
        <w:t>en procesos de selección o suscribir contrato sin contar con inscripción vigente en el RNP</w:t>
      </w:r>
      <w:r w:rsidRPr="007C1FDA">
        <w:rPr>
          <w:rFonts w:ascii="Tahoma" w:eastAsia="Calibri" w:hAnsi="Tahoma" w:cs="Tahoma"/>
          <w:lang w:eastAsia="es-ES"/>
        </w:rPr>
        <w:t>, y ii) haber presentado documento con información inexacta, en estricta aplicación de lo dispuesto en el último párrafo del artículo 245 del Reglamento</w:t>
      </w:r>
      <w:r w:rsidRPr="007C1FDA">
        <w:rPr>
          <w:rFonts w:ascii="Tahoma" w:eastAsia="Calibri" w:hAnsi="Tahoma" w:cs="Tahoma"/>
          <w:vertAlign w:val="superscript"/>
          <w:lang w:eastAsia="es-ES"/>
        </w:rPr>
        <w:footnoteReference w:id="10"/>
      </w:r>
      <w:r w:rsidRPr="007C1FDA">
        <w:rPr>
          <w:rFonts w:ascii="Tahoma" w:eastAsia="Calibri" w:hAnsi="Tahoma" w:cs="Tahoma"/>
          <w:lang w:eastAsia="es-ES"/>
        </w:rPr>
        <w:t>, correspondería aplicar la mayor sanción prevista, sin embargo, teniendo en cuenta que ambas infracciones establecen una sanción igual, corresponde sancionar con inhabilitación temporal para contratar con el Estado por un período no menor a un (1) año ni mayor de tres (3) años.</w:t>
      </w:r>
    </w:p>
    <w:p w:rsidR="007C1FDA" w:rsidRPr="007C1FDA" w:rsidRDefault="007C1FDA" w:rsidP="007C1FDA">
      <w:pPr>
        <w:spacing w:after="0" w:line="240" w:lineRule="auto"/>
        <w:ind w:left="567"/>
        <w:jc w:val="both"/>
        <w:rPr>
          <w:rFonts w:ascii="Tahoma" w:eastAsia="Calibri" w:hAnsi="Tahoma" w:cs="Tahoma"/>
          <w:lang w:val="es-ES" w:eastAsia="es-ES"/>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eastAsia="Calibri" w:hAnsi="Tahoma" w:cs="Tahoma"/>
          <w:lang w:val="es-ES" w:eastAsia="es-ES"/>
        </w:rPr>
      </w:pPr>
      <w:r w:rsidRPr="007C1FDA">
        <w:rPr>
          <w:rFonts w:ascii="Tahoma" w:eastAsia="Calibri" w:hAnsi="Tahoma" w:cs="Tahoma"/>
          <w:lang w:val="es-MX" w:eastAsia="es-ES"/>
        </w:rPr>
        <w:t>Asimismo, corresponde tener en cuenta los criterios de graduación de la sanción, estipulados en el artículo 245 del Reglamento</w:t>
      </w:r>
      <w:r w:rsidRPr="007C1FDA">
        <w:rPr>
          <w:rFonts w:ascii="Tahoma" w:eastAsia="Calibri" w:hAnsi="Tahoma" w:cs="Tahoma"/>
          <w:vertAlign w:val="superscript"/>
          <w:lang w:val="es-MX" w:eastAsia="es-ES"/>
        </w:rPr>
        <w:footnoteReference w:id="11"/>
      </w:r>
      <w:r w:rsidRPr="007C1FDA">
        <w:rPr>
          <w:rFonts w:ascii="Tahoma" w:eastAsia="Calibri" w:hAnsi="Tahoma" w:cs="Tahoma"/>
          <w:lang w:val="es-MX" w:eastAsia="es-ES"/>
        </w:rPr>
        <w:t>.</w:t>
      </w:r>
    </w:p>
    <w:p w:rsidR="007C1FDA" w:rsidRPr="007C1FDA" w:rsidRDefault="007C1FDA" w:rsidP="007C1FDA">
      <w:pPr>
        <w:tabs>
          <w:tab w:val="num" w:pos="567"/>
        </w:tabs>
        <w:spacing w:after="0" w:line="240" w:lineRule="auto"/>
        <w:ind w:left="567"/>
        <w:jc w:val="both"/>
        <w:rPr>
          <w:rFonts w:ascii="Tahoma" w:hAnsi="Tahoma" w:cs="Tahoma"/>
          <w:b/>
          <w:bCs/>
          <w:i/>
          <w:iCs/>
          <w:color w:val="000000"/>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eastAsia="Calibri" w:hAnsi="Tahoma" w:cs="Tahoma"/>
          <w:lang w:val="es-ES" w:eastAsia="es-ES"/>
        </w:rPr>
      </w:pPr>
      <w:r w:rsidRPr="007C1FDA">
        <w:rPr>
          <w:rFonts w:ascii="Tahoma" w:eastAsia="Calibri" w:hAnsi="Tahoma" w:cs="Tahoma"/>
          <w:lang w:val="es-ES" w:eastAsia="es-ES"/>
        </w:rPr>
        <w:t xml:space="preserve">En ese sentido, en relación con la naturaleza de las infracciones cometidas, se advierte que éstas revisten gravedad, debido a la vulneración del </w:t>
      </w:r>
      <w:r w:rsidRPr="007C1FDA">
        <w:rPr>
          <w:rFonts w:ascii="Tahoma" w:eastAsia="Calibri" w:hAnsi="Tahoma" w:cs="Tahoma"/>
          <w:i/>
          <w:lang w:val="es-ES" w:eastAsia="es-ES"/>
        </w:rPr>
        <w:t>principio de moralidad</w:t>
      </w:r>
      <w:r w:rsidRPr="007C1FDA">
        <w:rPr>
          <w:rFonts w:ascii="Tahoma" w:eastAsia="Calibri" w:hAnsi="Tahoma" w:cs="Tahoma"/>
          <w:i/>
          <w:vertAlign w:val="superscript"/>
          <w:lang w:val="es-ES" w:eastAsia="es-ES"/>
        </w:rPr>
        <w:footnoteReference w:id="12"/>
      </w:r>
      <w:r w:rsidRPr="007C1FDA">
        <w:rPr>
          <w:rFonts w:ascii="Tahoma" w:eastAsia="Calibri" w:hAnsi="Tahoma" w:cs="Tahoma"/>
          <w:lang w:val="es-ES" w:eastAsia="es-ES"/>
        </w:rPr>
        <w:t xml:space="preserve"> que rige todos los actos vinculados a las contrataciones públicas y que, </w:t>
      </w:r>
      <w:r w:rsidRPr="007C1FDA">
        <w:rPr>
          <w:rFonts w:ascii="Tahoma" w:eastAsia="Calibri" w:hAnsi="Tahoma" w:cs="Tahoma"/>
          <w:lang w:val="es-ES" w:eastAsia="es-ES"/>
        </w:rPr>
        <w:lastRenderedPageBreak/>
        <w:t xml:space="preserve">junto a la </w:t>
      </w:r>
      <w:r w:rsidRPr="007C1FDA">
        <w:rPr>
          <w:rFonts w:ascii="Tahoma" w:eastAsia="Calibri" w:hAnsi="Tahoma" w:cs="Tahoma"/>
          <w:i/>
          <w:lang w:val="es-ES" w:eastAsia="es-ES"/>
        </w:rPr>
        <w:t>fe pública</w:t>
      </w:r>
      <w:r w:rsidRPr="007C1FDA">
        <w:rPr>
          <w:rFonts w:ascii="Tahoma" w:eastAsia="Calibri" w:hAnsi="Tahoma" w:cs="Tahoma"/>
          <w:lang w:val="es-ES" w:eastAsia="es-ES"/>
        </w:rPr>
        <w:t>, constituyen bienes jurídicos merecedores de protección y tutela especial, pues son los pilares que sostienen las relaciones entre la Administración Pública y los administrados.</w:t>
      </w:r>
    </w:p>
    <w:p w:rsidR="007C1FDA" w:rsidRPr="007C1FDA" w:rsidRDefault="007C1FDA" w:rsidP="007C1FDA">
      <w:pPr>
        <w:spacing w:after="0" w:line="240" w:lineRule="auto"/>
        <w:ind w:left="720"/>
        <w:contextualSpacing/>
        <w:rPr>
          <w:rFonts w:ascii="Tahoma" w:eastAsia="Times New Roman" w:hAnsi="Tahoma" w:cs="Tahoma"/>
          <w:lang w:val="es-ES_tradnl"/>
        </w:rPr>
      </w:pPr>
    </w:p>
    <w:p w:rsidR="007C1FDA" w:rsidRPr="007C1FDA" w:rsidRDefault="007C1FDA" w:rsidP="007C1FDA">
      <w:pPr>
        <w:numPr>
          <w:ilvl w:val="0"/>
          <w:numId w:val="11"/>
        </w:numPr>
        <w:tabs>
          <w:tab w:val="clear" w:pos="360"/>
          <w:tab w:val="num" w:pos="567"/>
        </w:tabs>
        <w:spacing w:after="0" w:line="240" w:lineRule="auto"/>
        <w:ind w:left="567" w:hanging="567"/>
        <w:jc w:val="both"/>
        <w:rPr>
          <w:rFonts w:ascii="Tahoma" w:eastAsia="Calibri" w:hAnsi="Tahoma" w:cs="Tahoma"/>
          <w:lang w:val="es-ES" w:eastAsia="es-ES"/>
        </w:rPr>
      </w:pPr>
      <w:r w:rsidRPr="007C1FDA">
        <w:rPr>
          <w:rFonts w:ascii="Tahoma" w:eastAsia="Times New Roman" w:hAnsi="Tahoma" w:cs="Tahoma"/>
          <w:lang w:val="es-ES_tradnl" w:eastAsia="es-ES"/>
        </w:rPr>
        <w:t>Asimismo debe tenerse en cuenta la intencionalidad de</w:t>
      </w:r>
      <w:r w:rsidRPr="007C1FDA">
        <w:rPr>
          <w:rFonts w:ascii="Tahoma" w:eastAsia="Calibri" w:hAnsi="Tahoma" w:cs="Tahoma"/>
          <w:lang w:val="es-ES" w:eastAsia="es-ES"/>
        </w:rPr>
        <w:t xml:space="preserve">l Postor, en la medida que se ha podido evidenciar la consecución de un fin ulterior el cual ha sido  el  haber contratado con el Estado, a pesar de encontrarse impedido para ello. </w:t>
      </w:r>
    </w:p>
    <w:p w:rsidR="007C1FDA" w:rsidRPr="007C1FDA" w:rsidRDefault="007C1FDA" w:rsidP="007C1FDA">
      <w:pPr>
        <w:tabs>
          <w:tab w:val="num" w:pos="567"/>
        </w:tabs>
        <w:spacing w:after="0" w:line="240" w:lineRule="auto"/>
        <w:ind w:left="720"/>
        <w:contextualSpacing/>
        <w:rPr>
          <w:rFonts w:ascii="Tahoma" w:hAnsi="Tahoma" w:cs="Tahoma"/>
          <w:lang w:val="es-ES_tradnl"/>
        </w:rPr>
      </w:pPr>
    </w:p>
    <w:p w:rsidR="007C1FDA" w:rsidRPr="007C1FDA" w:rsidRDefault="007C1FDA" w:rsidP="007C1FDA">
      <w:pPr>
        <w:widowControl w:val="0"/>
        <w:numPr>
          <w:ilvl w:val="0"/>
          <w:numId w:val="11"/>
        </w:numPr>
        <w:tabs>
          <w:tab w:val="clear" w:pos="360"/>
          <w:tab w:val="num" w:pos="567"/>
        </w:tabs>
        <w:suppressAutoHyphens/>
        <w:spacing w:after="0" w:line="240" w:lineRule="auto"/>
        <w:ind w:left="567" w:hanging="567"/>
        <w:jc w:val="both"/>
        <w:rPr>
          <w:rFonts w:ascii="Tahoma" w:eastAsia="Times New Roman" w:hAnsi="Tahoma" w:cs="Tahoma"/>
          <w:lang w:val="es-ES_tradnl"/>
        </w:rPr>
      </w:pPr>
      <w:r w:rsidRPr="007C1FDA">
        <w:rPr>
          <w:rFonts w:ascii="Tahoma" w:eastAsia="Times New Roman" w:hAnsi="Tahoma" w:cs="Tahoma"/>
          <w:lang w:val="es-ES_tradnl"/>
        </w:rPr>
        <w:t>Sin perjuicio de lo anterior, en cuanto a la conducta procesal del infractor, cabe señalar que el Postor ha presentado sus descargos de manera oportuna,</w:t>
      </w:r>
      <w:r w:rsidRPr="007C1FDA">
        <w:rPr>
          <w:rFonts w:ascii="Tahoma" w:hAnsi="Tahoma" w:cs="Tahoma"/>
        </w:rPr>
        <w:t xml:space="preserve"> sin embargo ha  negado la responsabilidad de la infracción</w:t>
      </w:r>
      <w:r w:rsidRPr="007C1FDA">
        <w:rPr>
          <w:rFonts w:ascii="Tahoma" w:eastAsia="Times New Roman" w:hAnsi="Tahoma" w:cs="Tahoma"/>
          <w:lang w:val="es-ES_tradnl"/>
        </w:rPr>
        <w:t>.</w:t>
      </w:r>
    </w:p>
    <w:p w:rsidR="007C1FDA" w:rsidRPr="007C1FDA" w:rsidRDefault="007C1FDA" w:rsidP="007C1FDA">
      <w:pPr>
        <w:widowControl w:val="0"/>
        <w:tabs>
          <w:tab w:val="num" w:pos="567"/>
        </w:tabs>
        <w:suppressAutoHyphens/>
        <w:spacing w:after="0" w:line="240" w:lineRule="auto"/>
        <w:ind w:left="567" w:hanging="567"/>
        <w:jc w:val="both"/>
        <w:rPr>
          <w:rFonts w:ascii="Tahoma" w:eastAsia="Times New Roman" w:hAnsi="Tahoma" w:cs="Tahoma"/>
          <w:lang w:val="es-ES_tradnl"/>
        </w:rPr>
      </w:pPr>
    </w:p>
    <w:p w:rsidR="007C1FDA" w:rsidRPr="007C1FDA" w:rsidRDefault="007C1FDA" w:rsidP="007C1FDA">
      <w:pPr>
        <w:widowControl w:val="0"/>
        <w:numPr>
          <w:ilvl w:val="0"/>
          <w:numId w:val="11"/>
        </w:numPr>
        <w:tabs>
          <w:tab w:val="clear" w:pos="360"/>
          <w:tab w:val="num" w:pos="567"/>
        </w:tabs>
        <w:suppressAutoHyphens/>
        <w:spacing w:after="0" w:line="240" w:lineRule="auto"/>
        <w:ind w:left="567" w:hanging="567"/>
        <w:jc w:val="both"/>
        <w:rPr>
          <w:rFonts w:ascii="Tahoma" w:eastAsia="Times New Roman" w:hAnsi="Tahoma" w:cs="Tahoma"/>
          <w:lang w:val="es-ES_tradnl"/>
        </w:rPr>
      </w:pPr>
      <w:r w:rsidRPr="007C1FDA">
        <w:rPr>
          <w:rFonts w:ascii="Tahoma" w:eastAsia="Times New Roman" w:hAnsi="Tahoma" w:cs="Tahoma"/>
          <w:lang w:val="es-ES_tradnl"/>
        </w:rPr>
        <w:t>De igual modo,  respecto de las condiciones del infractor, abona a favor del Postor la ausencia de antecedentes en la comisión de alguna de las infracciones previstas en el Reglamento.</w:t>
      </w:r>
    </w:p>
    <w:p w:rsidR="007C1FDA" w:rsidRPr="007C1FDA" w:rsidRDefault="007C1FDA" w:rsidP="007C1FDA">
      <w:pPr>
        <w:widowControl w:val="0"/>
        <w:tabs>
          <w:tab w:val="num" w:pos="567"/>
        </w:tabs>
        <w:suppressAutoHyphens/>
        <w:spacing w:after="0" w:line="240" w:lineRule="auto"/>
        <w:ind w:left="567" w:hanging="567"/>
        <w:jc w:val="both"/>
        <w:rPr>
          <w:rFonts w:ascii="Tahoma" w:eastAsia="Times New Roman" w:hAnsi="Tahoma" w:cs="Tahoma"/>
          <w:lang w:val="es-ES_tradnl"/>
        </w:rPr>
      </w:pPr>
    </w:p>
    <w:p w:rsidR="007C1FDA" w:rsidRPr="007C1FDA" w:rsidRDefault="007C1FDA" w:rsidP="007C1FDA">
      <w:pPr>
        <w:widowControl w:val="0"/>
        <w:numPr>
          <w:ilvl w:val="0"/>
          <w:numId w:val="11"/>
        </w:numPr>
        <w:tabs>
          <w:tab w:val="clear" w:pos="360"/>
          <w:tab w:val="num" w:pos="567"/>
        </w:tabs>
        <w:suppressAutoHyphens/>
        <w:spacing w:after="0" w:line="240" w:lineRule="auto"/>
        <w:ind w:left="567" w:hanging="567"/>
        <w:jc w:val="both"/>
        <w:rPr>
          <w:rFonts w:ascii="Tahoma" w:eastAsia="Times New Roman" w:hAnsi="Tahoma" w:cs="Tahoma"/>
          <w:lang w:val="es-ES_tradnl"/>
        </w:rPr>
      </w:pPr>
      <w:r w:rsidRPr="007C1FDA">
        <w:rPr>
          <w:rFonts w:ascii="Tahoma" w:eastAsia="Times New Roman" w:hAnsi="Tahoma" w:cs="Tahoma"/>
          <w:lang w:val="es-ES_tradnl"/>
        </w:rPr>
        <w:t xml:space="preserve">Finalmente, resulta importante traer a colación el </w:t>
      </w:r>
      <w:r w:rsidRPr="007C1FDA">
        <w:rPr>
          <w:rFonts w:ascii="Tahoma" w:eastAsia="Times New Roman" w:hAnsi="Tahoma" w:cs="Tahoma"/>
          <w:i/>
          <w:lang w:val="es-ES_tradnl"/>
        </w:rPr>
        <w:t>principio de razonabilidad</w:t>
      </w:r>
      <w:r w:rsidRPr="007C1FDA">
        <w:rPr>
          <w:rFonts w:ascii="Tahoma" w:eastAsia="Times New Roman" w:hAnsi="Tahoma" w:cs="Tahoma"/>
          <w:lang w:val="es-ES_tradnl"/>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 </w:t>
      </w:r>
    </w:p>
    <w:p w:rsidR="007C1FDA" w:rsidRPr="007C1FDA" w:rsidRDefault="007C1FDA" w:rsidP="007C1FDA">
      <w:pPr>
        <w:tabs>
          <w:tab w:val="num" w:pos="567"/>
        </w:tabs>
        <w:spacing w:after="0" w:line="240" w:lineRule="auto"/>
        <w:ind w:left="720"/>
        <w:contextualSpacing/>
        <w:rPr>
          <w:rFonts w:ascii="Tahoma" w:eastAsia="Times New Roman" w:hAnsi="Tahoma" w:cs="Tahoma"/>
          <w:lang w:val="es-ES_tradnl"/>
        </w:rPr>
      </w:pPr>
    </w:p>
    <w:p w:rsidR="007C1FDA" w:rsidRPr="007C1FDA" w:rsidRDefault="007C1FDA" w:rsidP="007C1FDA">
      <w:pPr>
        <w:widowControl w:val="0"/>
        <w:numPr>
          <w:ilvl w:val="0"/>
          <w:numId w:val="11"/>
        </w:numPr>
        <w:tabs>
          <w:tab w:val="clear" w:pos="360"/>
          <w:tab w:val="num" w:pos="567"/>
        </w:tabs>
        <w:suppressAutoHyphens/>
        <w:spacing w:after="0" w:line="240" w:lineRule="auto"/>
        <w:ind w:left="567" w:hanging="567"/>
        <w:jc w:val="both"/>
        <w:rPr>
          <w:rFonts w:ascii="Tahoma" w:eastAsia="Times New Roman" w:hAnsi="Tahoma" w:cs="Tahoma"/>
          <w:lang w:val="es-ES_tradnl"/>
        </w:rPr>
      </w:pPr>
      <w:r w:rsidRPr="007C1FDA">
        <w:rPr>
          <w:rFonts w:ascii="Tahoma" w:eastAsia="Calibri" w:hAnsi="Tahoma" w:cs="Tahoma"/>
          <w:lang w:val="es-ES" w:eastAsia="es-PE"/>
        </w:rPr>
        <w:t xml:space="preserve">Por lo expuesto, corresponde imponer al postor la sanción de inhabilitación para contratar con el Estado por un período de doce (12) meses. </w:t>
      </w:r>
    </w:p>
    <w:p w:rsidR="007C1FDA" w:rsidRPr="007C1FDA" w:rsidRDefault="007C1FDA" w:rsidP="007C1FDA">
      <w:pPr>
        <w:ind w:left="720"/>
        <w:contextualSpacing/>
        <w:rPr>
          <w:rFonts w:ascii="Tahoma" w:eastAsia="Times New Roman" w:hAnsi="Tahoma" w:cs="Tahoma"/>
          <w:lang w:val="es-ES" w:eastAsia="es-ES"/>
        </w:rPr>
      </w:pPr>
    </w:p>
    <w:p w:rsidR="007C1FDA" w:rsidRPr="007C1FDA" w:rsidRDefault="007C1FDA" w:rsidP="007C1FDA">
      <w:pPr>
        <w:tabs>
          <w:tab w:val="left" w:pos="180"/>
        </w:tabs>
        <w:spacing w:after="0" w:line="240" w:lineRule="auto"/>
        <w:ind w:left="180" w:firstLine="540"/>
        <w:jc w:val="both"/>
        <w:rPr>
          <w:rFonts w:ascii="Tahoma" w:eastAsia="Calibri" w:hAnsi="Tahoma" w:cs="Tahoma"/>
          <w:color w:val="000000"/>
          <w:lang w:val="es-ES" w:eastAsia="es-ES"/>
        </w:rPr>
      </w:pPr>
      <w:r w:rsidRPr="007C1FDA">
        <w:rPr>
          <w:rFonts w:ascii="Tahoma" w:hAnsi="Tahoma" w:cs="Tahoma"/>
          <w:color w:val="000000"/>
        </w:rPr>
        <w:t>Por estos fundamentos, de conformidad con el informe de la Vocal Ponente Dra. Dammar Salazar Díaz,  y la intervención de las Vocales Dra. Ada Basulto Liewald y Dra. Wina Isasi Berrospi, atendiendo a la reconformación de la Primera Sala del Tribunal de Contrataciones del Estado, según lo dispuesto en la Resolución Nº 574-2011-OSCE/PRE de fecha 02 de setiembre de 2011; en ejercicio de las facultades conferidas en el artículo 63º de la Ley de Contrataciones del Estado, aprobado por Decreto Legislativo Nº 1017, y su segunda disposición complementaria transitoria, así como los artículos 17º y 18º del Reglamento de Organización y Funciones del OSCE, aprobado por Decreto Supremo Nº 006-2009-EF; analizados los antecedentes y luego de agotado el debate correspondiente, por unanimidad</w:t>
      </w:r>
      <w:r w:rsidRPr="007C1FDA">
        <w:rPr>
          <w:rFonts w:ascii="Tahoma" w:eastAsia="Calibri" w:hAnsi="Tahoma" w:cs="Tahoma"/>
          <w:color w:val="000000"/>
          <w:lang w:val="es-ES" w:eastAsia="es-ES"/>
        </w:rPr>
        <w:t>.</w:t>
      </w:r>
    </w:p>
    <w:p w:rsidR="007C1FDA" w:rsidRPr="007C1FDA" w:rsidRDefault="007C1FDA" w:rsidP="007C1FDA">
      <w:pPr>
        <w:spacing w:after="0" w:line="240" w:lineRule="auto"/>
        <w:rPr>
          <w:rFonts w:ascii="Tahoma" w:eastAsia="Calibri" w:hAnsi="Tahoma" w:cs="Tahoma"/>
          <w:color w:val="000000"/>
          <w:sz w:val="21"/>
          <w:szCs w:val="21"/>
          <w:lang w:val="es-ES" w:eastAsia="es-ES"/>
        </w:rPr>
      </w:pPr>
    </w:p>
    <w:p w:rsidR="007C1FDA" w:rsidRPr="007C1FDA" w:rsidRDefault="007C1FDA" w:rsidP="007C1FDA">
      <w:pPr>
        <w:spacing w:after="0" w:line="240" w:lineRule="auto"/>
        <w:ind w:firstLine="708"/>
        <w:jc w:val="both"/>
        <w:rPr>
          <w:rFonts w:ascii="Tahoma" w:eastAsia="Times New Roman" w:hAnsi="Tahoma" w:cs="Tahoma"/>
          <w:b/>
          <w:sz w:val="21"/>
          <w:szCs w:val="21"/>
          <w:lang w:val="es-ES" w:eastAsia="es-ES"/>
        </w:rPr>
      </w:pPr>
    </w:p>
    <w:p w:rsidR="007C1FDA" w:rsidRPr="007C1FDA" w:rsidRDefault="007C1FDA" w:rsidP="007C1FDA">
      <w:pPr>
        <w:spacing w:after="0" w:line="240" w:lineRule="auto"/>
        <w:ind w:firstLine="708"/>
        <w:jc w:val="both"/>
        <w:rPr>
          <w:rFonts w:ascii="Tahoma" w:eastAsia="Times New Roman" w:hAnsi="Tahoma" w:cs="Tahoma"/>
          <w:b/>
          <w:sz w:val="21"/>
          <w:szCs w:val="21"/>
          <w:lang w:val="es-ES" w:eastAsia="es-ES"/>
        </w:rPr>
      </w:pPr>
      <w:smartTag w:uri="urn:schemas-microsoft-com:office:smarttags" w:element="PersonName">
        <w:smartTagPr>
          <w:attr w:name="ProductID" w:val="LA SALA RESUELVE"/>
        </w:smartTagPr>
        <w:r w:rsidRPr="007C1FDA">
          <w:rPr>
            <w:rFonts w:ascii="Tahoma" w:eastAsia="Times New Roman" w:hAnsi="Tahoma" w:cs="Tahoma"/>
            <w:b/>
            <w:sz w:val="21"/>
            <w:szCs w:val="21"/>
            <w:lang w:val="es-ES" w:eastAsia="es-ES"/>
          </w:rPr>
          <w:t>LA SALA RESUELVE</w:t>
        </w:r>
      </w:smartTag>
      <w:r w:rsidRPr="007C1FDA">
        <w:rPr>
          <w:rFonts w:ascii="Tahoma" w:eastAsia="Times New Roman" w:hAnsi="Tahoma" w:cs="Tahoma"/>
          <w:b/>
          <w:sz w:val="21"/>
          <w:szCs w:val="21"/>
          <w:lang w:val="es-ES" w:eastAsia="es-ES"/>
        </w:rPr>
        <w:t xml:space="preserve">: </w:t>
      </w:r>
    </w:p>
    <w:p w:rsidR="007C1FDA" w:rsidRPr="007C1FDA" w:rsidRDefault="007C1FDA" w:rsidP="007C1FDA">
      <w:pPr>
        <w:spacing w:after="0" w:line="240" w:lineRule="auto"/>
        <w:ind w:firstLine="708"/>
        <w:jc w:val="both"/>
        <w:rPr>
          <w:rFonts w:ascii="Tahoma" w:eastAsia="Times New Roman" w:hAnsi="Tahoma" w:cs="Tahoma"/>
          <w:b/>
          <w:sz w:val="21"/>
          <w:szCs w:val="21"/>
          <w:lang w:val="es-ES" w:eastAsia="es-ES"/>
        </w:rPr>
      </w:pPr>
    </w:p>
    <w:p w:rsidR="007C1FDA" w:rsidRPr="007C1FDA" w:rsidRDefault="007C1FDA" w:rsidP="007C1FDA">
      <w:pPr>
        <w:spacing w:after="0" w:line="240" w:lineRule="auto"/>
        <w:ind w:firstLine="708"/>
        <w:jc w:val="both"/>
        <w:rPr>
          <w:rFonts w:ascii="Tahoma" w:eastAsia="Times New Roman" w:hAnsi="Tahoma" w:cs="Tahoma"/>
          <w:b/>
          <w:sz w:val="21"/>
          <w:szCs w:val="21"/>
          <w:lang w:val="es-ES" w:eastAsia="es-ES"/>
        </w:rPr>
      </w:pPr>
    </w:p>
    <w:p w:rsidR="007C1FDA" w:rsidRPr="007C1FDA" w:rsidRDefault="007C1FDA" w:rsidP="007C1FDA">
      <w:pPr>
        <w:numPr>
          <w:ilvl w:val="0"/>
          <w:numId w:val="13"/>
        </w:numPr>
        <w:spacing w:after="0" w:line="240" w:lineRule="auto"/>
        <w:ind w:left="540" w:hanging="540"/>
        <w:jc w:val="both"/>
        <w:rPr>
          <w:rFonts w:ascii="Tahoma" w:eastAsia="Calibri" w:hAnsi="Tahoma" w:cs="Tahoma"/>
          <w:lang w:val="es-ES" w:eastAsia="es-PE"/>
        </w:rPr>
      </w:pPr>
      <w:r w:rsidRPr="007C1FDA">
        <w:rPr>
          <w:rFonts w:ascii="Tahoma" w:eastAsia="Calibri" w:hAnsi="Tahoma" w:cs="Tahoma"/>
          <w:lang w:val="es-ES" w:eastAsia="es-PE"/>
        </w:rPr>
        <w:t>Imponera la empresa</w:t>
      </w:r>
      <w:r w:rsidRPr="007C1FDA">
        <w:rPr>
          <w:rFonts w:ascii="Tahoma" w:eastAsia="Times New Roman" w:hAnsi="Tahoma" w:cs="Tahoma"/>
          <w:lang w:val="es-ES_tradnl" w:eastAsia="es-ES"/>
        </w:rPr>
        <w:t>CONTEMAR S.A.C.</w:t>
      </w:r>
      <w:r w:rsidRPr="007C1FDA">
        <w:rPr>
          <w:rFonts w:ascii="Tahoma" w:eastAsia="Calibri" w:hAnsi="Tahoma" w:cs="Tahoma"/>
          <w:lang w:val="es-ES" w:eastAsia="es-ES"/>
        </w:rPr>
        <w:t>,</w:t>
      </w:r>
      <w:r w:rsidRPr="007C1FDA">
        <w:rPr>
          <w:rFonts w:ascii="Tahoma" w:eastAsia="Calibri" w:hAnsi="Tahoma" w:cs="Tahoma"/>
          <w:lang w:val="es-ES" w:eastAsia="es-PE"/>
        </w:rPr>
        <w:t xml:space="preserve"> sanción administrativade inhabilitación temporal por el periodo de doce (12) meses en sus derechos de participar en procesos de selección y contratar con el Estado, por la comisión de las infracciones tipificadas en los </w:t>
      </w:r>
      <w:r w:rsidRPr="007C1FDA">
        <w:rPr>
          <w:rFonts w:ascii="Tahoma" w:eastAsia="Times New Roman" w:hAnsi="Tahoma" w:cs="Tahoma"/>
          <w:lang w:val="es-ES_tradnl" w:eastAsia="es-ES"/>
        </w:rPr>
        <w:t xml:space="preserve"> literales e), i) del artículo 51.1de la Ley de Contrataciones del Estado</w:t>
      </w:r>
      <w:r w:rsidRPr="007C1FDA">
        <w:rPr>
          <w:rFonts w:ascii="Tahoma" w:eastAsia="Calibri" w:hAnsi="Tahoma" w:cs="Tahoma"/>
          <w:lang w:val="es-ES" w:eastAsia="es-PE"/>
        </w:rPr>
        <w:t>, la cual entrará en vigencia a partir del sexto de día hábil de notificada la presente Resolución.</w:t>
      </w:r>
    </w:p>
    <w:p w:rsidR="007C1FDA" w:rsidRPr="007C1FDA" w:rsidRDefault="007C1FDA" w:rsidP="007C1FDA">
      <w:pPr>
        <w:spacing w:after="0" w:line="240" w:lineRule="auto"/>
        <w:ind w:left="540"/>
        <w:jc w:val="both"/>
        <w:rPr>
          <w:rFonts w:ascii="Tahoma" w:eastAsia="Calibri" w:hAnsi="Tahoma" w:cs="Tahoma"/>
          <w:lang w:val="es-ES" w:eastAsia="es-PE"/>
        </w:rPr>
      </w:pPr>
    </w:p>
    <w:p w:rsidR="007C1FDA" w:rsidRPr="007C1FDA" w:rsidRDefault="007C1FDA" w:rsidP="007C1FDA">
      <w:pPr>
        <w:numPr>
          <w:ilvl w:val="0"/>
          <w:numId w:val="13"/>
        </w:numPr>
        <w:spacing w:after="0" w:line="240" w:lineRule="auto"/>
        <w:ind w:left="540" w:hanging="540"/>
        <w:jc w:val="both"/>
        <w:rPr>
          <w:rFonts w:ascii="Tahoma" w:eastAsia="Calibri" w:hAnsi="Tahoma" w:cs="Tahoma"/>
          <w:lang w:val="es-ES" w:eastAsia="es-PE"/>
        </w:rPr>
      </w:pPr>
      <w:r w:rsidRPr="007C1FDA">
        <w:rPr>
          <w:rFonts w:ascii="Tahoma" w:eastAsia="Calibri" w:hAnsi="Tahoma" w:cs="Tahoma"/>
          <w:lang w:val="es-ES" w:eastAsia="es-PE"/>
        </w:rPr>
        <w:t>Poner la presente Resolución en conocimiento de la Subdirección del Registro del Organismo Supervisor de las Contrataciones del Estado.</w:t>
      </w:r>
    </w:p>
    <w:p w:rsidR="007C1FDA" w:rsidRPr="007C1FDA" w:rsidRDefault="007C1FDA" w:rsidP="007C1FDA">
      <w:pPr>
        <w:tabs>
          <w:tab w:val="num" w:pos="540"/>
        </w:tabs>
        <w:spacing w:after="0" w:line="240" w:lineRule="auto"/>
        <w:ind w:right="-1"/>
        <w:jc w:val="both"/>
        <w:rPr>
          <w:rFonts w:ascii="Tahoma" w:eastAsia="Times New Roman" w:hAnsi="Tahoma" w:cs="Tahoma"/>
          <w:lang w:val="es-ES" w:eastAsia="es-ES"/>
        </w:rPr>
      </w:pPr>
    </w:p>
    <w:p w:rsidR="007C1FDA" w:rsidRPr="007C1FDA" w:rsidRDefault="007C1FDA" w:rsidP="007C1FDA">
      <w:pPr>
        <w:tabs>
          <w:tab w:val="num" w:pos="540"/>
        </w:tabs>
        <w:spacing w:after="0" w:line="240" w:lineRule="auto"/>
        <w:ind w:right="-1"/>
        <w:jc w:val="both"/>
        <w:rPr>
          <w:rFonts w:ascii="Tahoma" w:eastAsia="Times New Roman" w:hAnsi="Tahoma" w:cs="Tahoma"/>
          <w:lang w:val="es-ES" w:eastAsia="es-ES"/>
        </w:rPr>
      </w:pPr>
    </w:p>
    <w:p w:rsidR="007C1FDA" w:rsidRPr="007C1FDA" w:rsidRDefault="007C1FDA" w:rsidP="007C1FDA">
      <w:pPr>
        <w:spacing w:after="0" w:line="240" w:lineRule="auto"/>
        <w:ind w:firstLine="567"/>
        <w:jc w:val="both"/>
        <w:rPr>
          <w:rFonts w:ascii="Tahoma" w:eastAsia="Times New Roman" w:hAnsi="Tahoma" w:cs="Tahoma"/>
          <w:sz w:val="21"/>
          <w:szCs w:val="21"/>
          <w:lang w:val="es-ES" w:eastAsia="es-ES"/>
        </w:rPr>
      </w:pPr>
      <w:r w:rsidRPr="007C1FDA">
        <w:rPr>
          <w:rFonts w:ascii="Tahoma" w:eastAsia="Times New Roman" w:hAnsi="Tahoma" w:cs="Tahoma"/>
          <w:sz w:val="21"/>
          <w:szCs w:val="21"/>
          <w:lang w:val="es-ES" w:eastAsia="es-ES"/>
        </w:rPr>
        <w:t>Regístrese, comuníquese y publíquese.</w:t>
      </w:r>
    </w:p>
    <w:p w:rsidR="007C1FDA" w:rsidRPr="007C1FDA" w:rsidRDefault="007C1FDA" w:rsidP="007C1FDA">
      <w:pPr>
        <w:spacing w:after="0" w:line="240" w:lineRule="auto"/>
        <w:rPr>
          <w:rFonts w:ascii="Tahoma" w:eastAsia="Times New Roman" w:hAnsi="Tahoma" w:cs="Tahoma"/>
          <w:sz w:val="21"/>
          <w:szCs w:val="21"/>
          <w:lang w:val="es-ES" w:eastAsia="es-ES"/>
        </w:rPr>
      </w:pPr>
    </w:p>
    <w:p w:rsidR="007C1FDA" w:rsidRPr="007C1FDA" w:rsidRDefault="007C1FDA" w:rsidP="007C1FDA">
      <w:pPr>
        <w:spacing w:after="0" w:line="240" w:lineRule="auto"/>
        <w:rPr>
          <w:rFonts w:ascii="Tahoma" w:eastAsia="Times New Roman" w:hAnsi="Tahoma" w:cs="Tahoma"/>
          <w:sz w:val="21"/>
          <w:szCs w:val="21"/>
          <w:lang w:val="es-ES" w:eastAsia="es-ES"/>
        </w:rPr>
      </w:pPr>
    </w:p>
    <w:p w:rsidR="007C1FDA" w:rsidRPr="007C1FDA" w:rsidRDefault="007C1FDA" w:rsidP="007C1FDA">
      <w:pPr>
        <w:spacing w:after="0" w:line="240" w:lineRule="auto"/>
        <w:rPr>
          <w:rFonts w:ascii="Tahoma" w:eastAsia="Times New Roman" w:hAnsi="Tahoma" w:cs="Tahoma"/>
          <w:sz w:val="21"/>
          <w:szCs w:val="21"/>
          <w:lang w:val="es-ES" w:eastAsia="es-ES"/>
        </w:rPr>
      </w:pPr>
    </w:p>
    <w:p w:rsidR="007C1FDA" w:rsidRPr="007C1FDA" w:rsidRDefault="007C1FDA" w:rsidP="007C1FDA">
      <w:pPr>
        <w:spacing w:after="0" w:line="240" w:lineRule="auto"/>
        <w:rPr>
          <w:rFonts w:ascii="Tahoma" w:eastAsia="Times New Roman" w:hAnsi="Tahoma" w:cs="Tahoma"/>
          <w:sz w:val="21"/>
          <w:szCs w:val="21"/>
          <w:lang w:val="es-ES" w:eastAsia="es-ES"/>
        </w:rPr>
      </w:pPr>
    </w:p>
    <w:p w:rsidR="007C1FDA" w:rsidRPr="007C1FDA" w:rsidRDefault="007C1FDA" w:rsidP="007C1FDA">
      <w:pPr>
        <w:spacing w:after="0" w:line="240" w:lineRule="auto"/>
        <w:jc w:val="center"/>
        <w:rPr>
          <w:rFonts w:ascii="Tahoma" w:eastAsia="Times New Roman" w:hAnsi="Tahoma" w:cs="Tahoma"/>
          <w:b/>
          <w:sz w:val="21"/>
          <w:szCs w:val="21"/>
          <w:lang w:val="es-ES" w:eastAsia="es-ES"/>
        </w:rPr>
      </w:pPr>
      <w:r w:rsidRPr="007C1FDA">
        <w:rPr>
          <w:rFonts w:ascii="Tahoma" w:eastAsia="Times New Roman" w:hAnsi="Tahoma" w:cs="Tahoma"/>
          <w:b/>
          <w:sz w:val="21"/>
          <w:szCs w:val="21"/>
          <w:lang w:val="es-ES" w:eastAsia="es-ES"/>
        </w:rPr>
        <w:t>PRESIDENTA</w:t>
      </w:r>
    </w:p>
    <w:p w:rsidR="007C1FDA" w:rsidRPr="007C1FDA" w:rsidRDefault="007C1FDA" w:rsidP="007C1FDA">
      <w:pPr>
        <w:spacing w:after="0" w:line="240" w:lineRule="auto"/>
        <w:rPr>
          <w:rFonts w:ascii="Tahoma" w:eastAsia="Times New Roman" w:hAnsi="Tahoma" w:cs="Tahoma"/>
          <w:b/>
          <w:sz w:val="21"/>
          <w:szCs w:val="21"/>
          <w:lang w:val="es-ES" w:eastAsia="es-ES"/>
        </w:rPr>
      </w:pPr>
    </w:p>
    <w:p w:rsidR="007C1FDA" w:rsidRPr="007C1FDA" w:rsidRDefault="007C1FDA" w:rsidP="007C1FDA">
      <w:pPr>
        <w:spacing w:after="0" w:line="240" w:lineRule="auto"/>
        <w:rPr>
          <w:rFonts w:ascii="Tahoma" w:eastAsia="Times New Roman" w:hAnsi="Tahoma" w:cs="Tahoma"/>
          <w:b/>
          <w:sz w:val="21"/>
          <w:szCs w:val="21"/>
          <w:lang w:val="es-ES" w:eastAsia="es-ES"/>
        </w:rPr>
      </w:pPr>
    </w:p>
    <w:p w:rsidR="007C1FDA" w:rsidRPr="007C1FDA" w:rsidRDefault="007C1FDA" w:rsidP="007C1FDA">
      <w:pPr>
        <w:spacing w:after="0" w:line="240" w:lineRule="auto"/>
        <w:jc w:val="both"/>
        <w:rPr>
          <w:rFonts w:ascii="Tahoma" w:eastAsia="Times New Roman" w:hAnsi="Tahoma" w:cs="Tahoma"/>
          <w:b/>
          <w:sz w:val="21"/>
          <w:szCs w:val="21"/>
          <w:lang w:val="es-ES" w:eastAsia="es-ES"/>
        </w:rPr>
      </w:pPr>
    </w:p>
    <w:p w:rsidR="007C1FDA" w:rsidRPr="007C1FDA" w:rsidRDefault="007C1FDA" w:rsidP="007C1FDA">
      <w:pPr>
        <w:spacing w:after="0" w:line="240" w:lineRule="auto"/>
        <w:jc w:val="both"/>
        <w:rPr>
          <w:rFonts w:ascii="Tahoma" w:eastAsia="Times New Roman" w:hAnsi="Tahoma" w:cs="Tahoma"/>
          <w:b/>
          <w:sz w:val="21"/>
          <w:szCs w:val="21"/>
          <w:lang w:val="es-ES" w:eastAsia="es-ES"/>
        </w:rPr>
      </w:pPr>
    </w:p>
    <w:p w:rsidR="007C1FDA" w:rsidRPr="007C1FDA" w:rsidRDefault="007C1FDA" w:rsidP="007C1FDA">
      <w:pPr>
        <w:spacing w:after="0" w:line="240" w:lineRule="auto"/>
        <w:jc w:val="both"/>
        <w:rPr>
          <w:rFonts w:ascii="Tahoma" w:eastAsia="Times New Roman" w:hAnsi="Tahoma" w:cs="Tahoma"/>
          <w:sz w:val="21"/>
          <w:szCs w:val="21"/>
          <w:lang w:val="es-ES" w:eastAsia="es-ES"/>
        </w:rPr>
      </w:pPr>
      <w:r w:rsidRPr="007C1FDA">
        <w:rPr>
          <w:rFonts w:ascii="Tahoma" w:eastAsia="Times New Roman" w:hAnsi="Tahoma" w:cs="Tahoma"/>
          <w:b/>
          <w:sz w:val="21"/>
          <w:szCs w:val="21"/>
          <w:lang w:val="es-ES" w:eastAsia="es-ES"/>
        </w:rPr>
        <w:t xml:space="preserve">                     VOCAL                                                                                   VOCAL</w:t>
      </w:r>
    </w:p>
    <w:p w:rsidR="007C1FDA" w:rsidRPr="007C1FDA" w:rsidRDefault="007C1FDA" w:rsidP="007C1FDA">
      <w:pPr>
        <w:spacing w:after="0" w:line="240" w:lineRule="auto"/>
        <w:jc w:val="both"/>
        <w:rPr>
          <w:rFonts w:ascii="Tahoma" w:eastAsia="Times New Roman" w:hAnsi="Tahoma" w:cs="Tahoma"/>
          <w:sz w:val="21"/>
          <w:szCs w:val="21"/>
          <w:lang w:val="es-ES" w:eastAsia="es-ES"/>
        </w:rPr>
      </w:pPr>
    </w:p>
    <w:p w:rsidR="007C1FDA" w:rsidRPr="007C1FDA" w:rsidRDefault="007C1FDA" w:rsidP="007C1FDA">
      <w:pPr>
        <w:tabs>
          <w:tab w:val="left" w:pos="3544"/>
          <w:tab w:val="left" w:pos="7230"/>
          <w:tab w:val="left" w:pos="8505"/>
        </w:tabs>
        <w:spacing w:after="0" w:line="240" w:lineRule="auto"/>
        <w:ind w:right="-486"/>
        <w:jc w:val="both"/>
        <w:rPr>
          <w:rFonts w:ascii="Tahoma" w:eastAsia="Times New Roman" w:hAnsi="Tahoma" w:cs="Tahoma"/>
          <w:sz w:val="21"/>
          <w:szCs w:val="21"/>
          <w:lang w:val="pt-BR" w:eastAsia="es-ES"/>
        </w:rPr>
      </w:pPr>
      <w:r w:rsidRPr="007C1FDA">
        <w:rPr>
          <w:rFonts w:ascii="Tahoma" w:eastAsia="Times New Roman" w:hAnsi="Tahoma" w:cs="Tahoma"/>
          <w:sz w:val="21"/>
          <w:szCs w:val="21"/>
          <w:lang w:val="pt-BR" w:eastAsia="es-ES"/>
        </w:rPr>
        <w:t>ss.</w:t>
      </w:r>
    </w:p>
    <w:p w:rsidR="007C1FDA" w:rsidRPr="007C1FDA" w:rsidRDefault="007C1FDA" w:rsidP="007C1FDA">
      <w:pPr>
        <w:tabs>
          <w:tab w:val="left" w:pos="3544"/>
          <w:tab w:val="left" w:pos="7230"/>
          <w:tab w:val="left" w:pos="8505"/>
        </w:tabs>
        <w:spacing w:after="0" w:line="240" w:lineRule="auto"/>
        <w:ind w:right="-486"/>
        <w:jc w:val="both"/>
        <w:rPr>
          <w:rFonts w:ascii="Tahoma" w:eastAsia="Times New Roman" w:hAnsi="Tahoma" w:cs="Tahoma"/>
          <w:sz w:val="21"/>
          <w:szCs w:val="21"/>
          <w:lang w:val="pt-BR" w:eastAsia="es-ES"/>
        </w:rPr>
      </w:pPr>
      <w:r w:rsidRPr="007C1FDA">
        <w:rPr>
          <w:rFonts w:ascii="Tahoma" w:eastAsia="Times New Roman" w:hAnsi="Tahoma" w:cs="Tahoma"/>
          <w:sz w:val="21"/>
          <w:szCs w:val="21"/>
          <w:lang w:val="pt-BR" w:eastAsia="es-ES"/>
        </w:rPr>
        <w:t>Basulto Liewald.</w:t>
      </w:r>
    </w:p>
    <w:p w:rsidR="007C1FDA" w:rsidRPr="007C1FDA" w:rsidRDefault="007C1FDA" w:rsidP="007C1FDA">
      <w:pPr>
        <w:tabs>
          <w:tab w:val="left" w:pos="3544"/>
          <w:tab w:val="left" w:pos="7230"/>
          <w:tab w:val="left" w:pos="8505"/>
        </w:tabs>
        <w:spacing w:after="0" w:line="240" w:lineRule="auto"/>
        <w:ind w:right="-486"/>
        <w:jc w:val="both"/>
        <w:rPr>
          <w:rFonts w:ascii="Tahoma" w:eastAsia="Times New Roman" w:hAnsi="Tahoma" w:cs="Tahoma"/>
          <w:b/>
          <w:color w:val="000000"/>
          <w:sz w:val="21"/>
          <w:szCs w:val="21"/>
          <w:lang w:val="es-ES" w:eastAsia="es-ES"/>
        </w:rPr>
      </w:pPr>
      <w:r w:rsidRPr="007C1FDA">
        <w:rPr>
          <w:rFonts w:ascii="Tahoma" w:eastAsia="Times New Roman" w:hAnsi="Tahoma" w:cs="Tahoma"/>
          <w:b/>
          <w:color w:val="000000"/>
          <w:sz w:val="21"/>
          <w:szCs w:val="21"/>
          <w:lang w:val="es-ES" w:eastAsia="es-ES"/>
        </w:rPr>
        <w:t>Salazar Díaz.</w:t>
      </w:r>
    </w:p>
    <w:p w:rsidR="007C1FDA" w:rsidRPr="007C1FDA" w:rsidRDefault="007C1FDA" w:rsidP="007C1FDA">
      <w:pPr>
        <w:tabs>
          <w:tab w:val="left" w:pos="3544"/>
          <w:tab w:val="left" w:pos="7230"/>
          <w:tab w:val="left" w:pos="8505"/>
        </w:tabs>
        <w:spacing w:after="0" w:line="240" w:lineRule="auto"/>
        <w:ind w:right="-486"/>
        <w:jc w:val="both"/>
      </w:pPr>
      <w:r w:rsidRPr="007C1FDA">
        <w:rPr>
          <w:rFonts w:ascii="Tahoma" w:eastAsia="Times New Roman" w:hAnsi="Tahoma" w:cs="Tahoma"/>
          <w:color w:val="000000"/>
          <w:sz w:val="21"/>
          <w:szCs w:val="21"/>
          <w:lang w:val="es-ES" w:eastAsia="es-ES"/>
        </w:rPr>
        <w:t>Isasi Berrospi.</w:t>
      </w:r>
    </w:p>
    <w:p w:rsidR="00831D88" w:rsidRDefault="00831D88"/>
    <w:sectPr w:rsidR="00831D88" w:rsidSect="00180973">
      <w:headerReference w:type="default" r:id="rId7"/>
      <w:footerReference w:type="default" r:id="rId8"/>
      <w:pgSz w:w="12240" w:h="15840" w:code="1"/>
      <w:pgMar w:top="3544"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10F3" w:rsidRDefault="002F10F3" w:rsidP="007C1FDA">
      <w:pPr>
        <w:spacing w:after="0" w:line="240" w:lineRule="auto"/>
      </w:pPr>
      <w:r>
        <w:separator/>
      </w:r>
    </w:p>
  </w:endnote>
  <w:endnote w:type="continuationSeparator" w:id="1">
    <w:p w:rsidR="002F10F3" w:rsidRDefault="002F10F3" w:rsidP="007C1F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0134683"/>
      <w:docPartObj>
        <w:docPartGallery w:val="Page Numbers (Bottom of Page)"/>
        <w:docPartUnique/>
      </w:docPartObj>
    </w:sdtPr>
    <w:sdtContent>
      <w:sdt>
        <w:sdtPr>
          <w:id w:val="-1669238322"/>
          <w:docPartObj>
            <w:docPartGallery w:val="Page Numbers (Top of Page)"/>
            <w:docPartUnique/>
          </w:docPartObj>
        </w:sdtPr>
        <w:sdtContent>
          <w:p w:rsidR="004C42BB" w:rsidRDefault="00DB0BB5">
            <w:pPr>
              <w:pStyle w:val="Piedepgina"/>
              <w:jc w:val="center"/>
            </w:pPr>
            <w:r>
              <w:rPr>
                <w:lang w:val="es-ES"/>
              </w:rPr>
              <w:t xml:space="preserve">Página </w:t>
            </w:r>
            <w:r w:rsidR="00F95BBB">
              <w:rPr>
                <w:b/>
                <w:bCs/>
                <w:sz w:val="24"/>
                <w:szCs w:val="24"/>
              </w:rPr>
              <w:fldChar w:fldCharType="begin"/>
            </w:r>
            <w:r>
              <w:rPr>
                <w:b/>
                <w:bCs/>
              </w:rPr>
              <w:instrText>PAGE</w:instrText>
            </w:r>
            <w:r w:rsidR="00F95BBB">
              <w:rPr>
                <w:b/>
                <w:bCs/>
                <w:sz w:val="24"/>
                <w:szCs w:val="24"/>
              </w:rPr>
              <w:fldChar w:fldCharType="separate"/>
            </w:r>
            <w:r w:rsidR="00022069">
              <w:rPr>
                <w:b/>
                <w:bCs/>
                <w:noProof/>
              </w:rPr>
              <w:t>1</w:t>
            </w:r>
            <w:r w:rsidR="00F95BBB">
              <w:rPr>
                <w:b/>
                <w:bCs/>
                <w:sz w:val="24"/>
                <w:szCs w:val="24"/>
              </w:rPr>
              <w:fldChar w:fldCharType="end"/>
            </w:r>
            <w:r>
              <w:rPr>
                <w:lang w:val="es-ES"/>
              </w:rPr>
              <w:t xml:space="preserve"> de </w:t>
            </w:r>
            <w:r w:rsidR="00F95BBB">
              <w:rPr>
                <w:b/>
                <w:bCs/>
                <w:sz w:val="24"/>
                <w:szCs w:val="24"/>
              </w:rPr>
              <w:fldChar w:fldCharType="begin"/>
            </w:r>
            <w:r>
              <w:rPr>
                <w:b/>
                <w:bCs/>
              </w:rPr>
              <w:instrText>NUMPAGES</w:instrText>
            </w:r>
            <w:r w:rsidR="00F95BBB">
              <w:rPr>
                <w:b/>
                <w:bCs/>
                <w:sz w:val="24"/>
                <w:szCs w:val="24"/>
              </w:rPr>
              <w:fldChar w:fldCharType="separate"/>
            </w:r>
            <w:r w:rsidR="00022069">
              <w:rPr>
                <w:b/>
                <w:bCs/>
                <w:noProof/>
              </w:rPr>
              <w:t>15</w:t>
            </w:r>
            <w:r w:rsidR="00F95BBB">
              <w:rPr>
                <w:b/>
                <w:bCs/>
                <w:sz w:val="24"/>
                <w:szCs w:val="24"/>
              </w:rPr>
              <w:fldChar w:fldCharType="end"/>
            </w:r>
          </w:p>
        </w:sdtContent>
      </w:sdt>
    </w:sdtContent>
  </w:sdt>
  <w:p w:rsidR="004C42BB" w:rsidRDefault="002F10F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10F3" w:rsidRDefault="002F10F3" w:rsidP="007C1FDA">
      <w:pPr>
        <w:spacing w:after="0" w:line="240" w:lineRule="auto"/>
      </w:pPr>
      <w:r>
        <w:separator/>
      </w:r>
    </w:p>
  </w:footnote>
  <w:footnote w:type="continuationSeparator" w:id="1">
    <w:p w:rsidR="002F10F3" w:rsidRDefault="002F10F3" w:rsidP="007C1FDA">
      <w:pPr>
        <w:spacing w:after="0" w:line="240" w:lineRule="auto"/>
      </w:pPr>
      <w:r>
        <w:continuationSeparator/>
      </w:r>
    </w:p>
  </w:footnote>
  <w:footnote w:id="2">
    <w:p w:rsidR="007C1FDA" w:rsidRPr="002A52FC" w:rsidRDefault="007C1FDA" w:rsidP="007C1FDA">
      <w:pPr>
        <w:pStyle w:val="Textonotapie"/>
        <w:jc w:val="both"/>
        <w:rPr>
          <w:i/>
        </w:rPr>
      </w:pPr>
      <w:r>
        <w:rPr>
          <w:rStyle w:val="Refdenotaalpie"/>
        </w:rPr>
        <w:footnoteRef/>
      </w:r>
      <w:r w:rsidRPr="002A52FC">
        <w:rPr>
          <w:i/>
        </w:rPr>
        <w:t xml:space="preserve">PETROLEOS DEL PERÚ S.A., fue debidamente notificado el </w:t>
      </w:r>
      <w:r>
        <w:rPr>
          <w:i/>
        </w:rPr>
        <w:t>14 de Abril de</w:t>
      </w:r>
      <w:r w:rsidRPr="002A52FC">
        <w:rPr>
          <w:i/>
        </w:rPr>
        <w:t xml:space="preserve"> 2011.</w:t>
      </w:r>
    </w:p>
  </w:footnote>
  <w:footnote w:id="3">
    <w:p w:rsidR="007C1FDA" w:rsidRPr="002A52FC" w:rsidRDefault="007C1FDA" w:rsidP="007C1FDA">
      <w:pPr>
        <w:pStyle w:val="Textonotapie"/>
        <w:jc w:val="both"/>
        <w:rPr>
          <w:i/>
        </w:rPr>
      </w:pPr>
      <w:r w:rsidRPr="002A52FC">
        <w:rPr>
          <w:rStyle w:val="Refdenotaalpie"/>
          <w:i/>
        </w:rPr>
        <w:footnoteRef/>
      </w:r>
      <w:r w:rsidRPr="002A52FC">
        <w:rPr>
          <w:i/>
        </w:rPr>
        <w:t xml:space="preserve"> La empresa</w:t>
      </w:r>
      <w:r w:rsidRPr="002A52FC">
        <w:rPr>
          <w:i/>
          <w:lang w:val="es-ES_tradnl"/>
        </w:rPr>
        <w:t xml:space="preserve"> CECIPAT S.A.C.</w:t>
      </w:r>
      <w:r w:rsidRPr="002A52FC">
        <w:rPr>
          <w:i/>
        </w:rPr>
        <w:t>, fue debidamente notificada el 06 de Junio de 2011.</w:t>
      </w:r>
    </w:p>
  </w:footnote>
  <w:footnote w:id="4">
    <w:p w:rsidR="007C1FDA" w:rsidRPr="00285227" w:rsidRDefault="007C1FDA" w:rsidP="007C1FDA">
      <w:pPr>
        <w:pStyle w:val="Textonotapie"/>
        <w:rPr>
          <w:rFonts w:ascii="Tahoma" w:hAnsi="Tahoma" w:cs="Tahoma"/>
          <w:i/>
          <w:sz w:val="16"/>
          <w:szCs w:val="16"/>
        </w:rPr>
      </w:pPr>
      <w:r w:rsidRPr="00CA1C02">
        <w:rPr>
          <w:rStyle w:val="Refdenotaalpie"/>
          <w:rFonts w:ascii="Tahoma" w:hAnsi="Tahoma" w:cs="Tahoma"/>
          <w:i/>
        </w:rPr>
        <w:footnoteRef/>
      </w:r>
      <w:r w:rsidRPr="00285227">
        <w:rPr>
          <w:rFonts w:ascii="Tahoma" w:hAnsi="Tahoma" w:cs="Tahoma"/>
          <w:i/>
          <w:sz w:val="16"/>
          <w:szCs w:val="16"/>
        </w:rPr>
        <w:t>Publicada el 23 de julio de 2006.</w:t>
      </w:r>
    </w:p>
  </w:footnote>
  <w:footnote w:id="5">
    <w:p w:rsidR="007C1FDA" w:rsidRPr="00285227" w:rsidRDefault="007C1FDA" w:rsidP="007C1FDA">
      <w:pPr>
        <w:pStyle w:val="Textonotapie"/>
        <w:rPr>
          <w:rFonts w:ascii="Tahoma" w:hAnsi="Tahoma" w:cs="Tahoma"/>
          <w:i/>
          <w:sz w:val="16"/>
          <w:szCs w:val="16"/>
        </w:rPr>
      </w:pPr>
      <w:r w:rsidRPr="00285227">
        <w:rPr>
          <w:rStyle w:val="Refdenotaalpie"/>
          <w:rFonts w:ascii="Tahoma" w:hAnsi="Tahoma" w:cs="Tahoma"/>
          <w:i/>
          <w:sz w:val="16"/>
          <w:szCs w:val="16"/>
        </w:rPr>
        <w:footnoteRef/>
      </w:r>
      <w:r w:rsidRPr="00285227">
        <w:rPr>
          <w:rFonts w:ascii="Tahoma" w:hAnsi="Tahoma" w:cs="Tahoma"/>
          <w:i/>
          <w:sz w:val="16"/>
          <w:szCs w:val="16"/>
        </w:rPr>
        <w:t xml:space="preserve"> Pu</w:t>
      </w:r>
      <w:r>
        <w:rPr>
          <w:rFonts w:ascii="Tahoma" w:hAnsi="Tahoma" w:cs="Tahoma"/>
          <w:i/>
          <w:sz w:val="16"/>
          <w:szCs w:val="16"/>
        </w:rPr>
        <w:t>blicada el 12 de diciembre del 2009</w:t>
      </w:r>
      <w:r w:rsidRPr="00285227">
        <w:rPr>
          <w:rFonts w:ascii="Tahoma" w:hAnsi="Tahoma" w:cs="Tahoma"/>
          <w:i/>
          <w:sz w:val="16"/>
          <w:szCs w:val="16"/>
        </w:rPr>
        <w:t>.</w:t>
      </w:r>
    </w:p>
  </w:footnote>
  <w:footnote w:id="6">
    <w:p w:rsidR="007C1FDA" w:rsidRPr="00B5102D" w:rsidRDefault="007C1FDA" w:rsidP="007C1FDA">
      <w:pPr>
        <w:pStyle w:val="Textonotapie"/>
        <w:tabs>
          <w:tab w:val="left" w:pos="284"/>
        </w:tabs>
        <w:ind w:left="284" w:hanging="284"/>
        <w:rPr>
          <w:i/>
        </w:rPr>
      </w:pPr>
      <w:r w:rsidRPr="00B5102D">
        <w:rPr>
          <w:rStyle w:val="Refdenotaalpie"/>
          <w:i/>
        </w:rPr>
        <w:footnoteRef/>
      </w:r>
      <w:r w:rsidRPr="00B5102D">
        <w:rPr>
          <w:i/>
        </w:rPr>
        <w:tab/>
        <w:t>Aprobado por Decreto</w:t>
      </w:r>
      <w:r>
        <w:rPr>
          <w:i/>
        </w:rPr>
        <w:t xml:space="preserve"> Legislativo</w:t>
      </w:r>
      <w:r w:rsidRPr="00B5102D">
        <w:rPr>
          <w:i/>
        </w:rPr>
        <w:t xml:space="preserve"> Nº</w:t>
      </w:r>
      <w:r>
        <w:rPr>
          <w:i/>
        </w:rPr>
        <w:t>1017</w:t>
      </w:r>
    </w:p>
  </w:footnote>
  <w:footnote w:id="7">
    <w:p w:rsidR="007C1FDA" w:rsidRPr="00971F2A" w:rsidRDefault="007C1FDA" w:rsidP="007C1FDA">
      <w:pPr>
        <w:pStyle w:val="Textonotapie"/>
        <w:tabs>
          <w:tab w:val="left" w:pos="284"/>
        </w:tabs>
        <w:ind w:left="284" w:hanging="284"/>
        <w:jc w:val="both"/>
        <w:rPr>
          <w:i/>
        </w:rPr>
      </w:pPr>
      <w:r w:rsidRPr="00971F2A">
        <w:rPr>
          <w:rStyle w:val="Refdenotaalpie"/>
          <w:i/>
        </w:rPr>
        <w:footnoteRef/>
      </w:r>
      <w:r w:rsidRPr="00971F2A">
        <w:rPr>
          <w:i/>
        </w:rPr>
        <w:tab/>
        <w:t>Estableció los lineamientos respecto del procedimiento y plazos para la renovación de la inscripción de los proveedores de bienes y/o servicios ante el Registro Nacional de Proveedores, en el cual señaló que luego de pagada la tasa correspondiente el proveedor posee un plazo adicional de quince (15) días hábiles para presentar la documentación señalada en el TUPA de CONSUCODE.</w:t>
      </w:r>
    </w:p>
    <w:p w:rsidR="007C1FDA" w:rsidRPr="00971F2A" w:rsidRDefault="007C1FDA" w:rsidP="007C1FDA">
      <w:pPr>
        <w:pStyle w:val="Textonotapie"/>
        <w:tabs>
          <w:tab w:val="left" w:pos="284"/>
        </w:tabs>
        <w:rPr>
          <w:i/>
        </w:rPr>
      </w:pPr>
    </w:p>
  </w:footnote>
  <w:footnote w:id="8">
    <w:p w:rsidR="007C1FDA" w:rsidRPr="00971F2A" w:rsidRDefault="007C1FDA" w:rsidP="007C1FDA">
      <w:pPr>
        <w:pStyle w:val="Textonotapie"/>
        <w:rPr>
          <w:i/>
        </w:rPr>
      </w:pPr>
      <w:r w:rsidRPr="00971F2A">
        <w:rPr>
          <w:rStyle w:val="Refdenotaalpie"/>
          <w:i/>
        </w:rPr>
        <w:footnoteRef/>
      </w:r>
      <w:r w:rsidRPr="00971F2A">
        <w:rPr>
          <w:i/>
        </w:rPr>
        <w:t xml:space="preserve">    Hoy llamado Organismo Supervisor de las Contrataciones del Estado.</w:t>
      </w:r>
    </w:p>
    <w:p w:rsidR="007C1FDA" w:rsidRPr="00971F2A" w:rsidRDefault="007C1FDA" w:rsidP="007C1FDA">
      <w:pPr>
        <w:pStyle w:val="Textonotapie"/>
        <w:rPr>
          <w:i/>
        </w:rPr>
      </w:pPr>
    </w:p>
    <w:p w:rsidR="007C1FDA" w:rsidRPr="00971F2A" w:rsidRDefault="007C1FDA" w:rsidP="007C1FDA">
      <w:pPr>
        <w:pStyle w:val="Textonotapie"/>
        <w:rPr>
          <w:i/>
        </w:rPr>
      </w:pPr>
    </w:p>
  </w:footnote>
  <w:footnote w:id="9">
    <w:p w:rsidR="007C1FDA" w:rsidRPr="00554C34" w:rsidRDefault="007C1FDA" w:rsidP="007C1FDA">
      <w:pPr>
        <w:pStyle w:val="Textonotapie"/>
        <w:ind w:right="-285"/>
        <w:jc w:val="both"/>
        <w:rPr>
          <w:i/>
        </w:rPr>
      </w:pPr>
      <w:r w:rsidRPr="00554C34">
        <w:rPr>
          <w:rStyle w:val="Refdenotaalpie"/>
          <w:b/>
          <w:i/>
        </w:rPr>
        <w:footnoteRef/>
      </w:r>
      <w:r w:rsidRPr="00554C34">
        <w:rPr>
          <w:b/>
          <w:i/>
        </w:rPr>
        <w:t>El Principio de Presunción de Veracidad</w:t>
      </w:r>
      <w:r w:rsidRPr="00554C34">
        <w:rPr>
          <w:i/>
        </w:rPr>
        <w:t xml:space="preserve"> consiste en “el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 MORÓN URBINA, Juan Carlos. </w:t>
      </w:r>
      <w:r w:rsidRPr="00554C34">
        <w:rPr>
          <w:b/>
          <w:i/>
        </w:rPr>
        <w:t>Comentarios a la Ley del Procedimiento Administrativo General</w:t>
      </w:r>
      <w:r w:rsidRPr="00554C34">
        <w:rPr>
          <w:i/>
        </w:rPr>
        <w:t>. Cuarta Edición. Lima: Gaceta Jurídica, 2005; pp. 74 -75.</w:t>
      </w:r>
    </w:p>
  </w:footnote>
  <w:footnote w:id="10">
    <w:p w:rsidR="007C1FDA" w:rsidRPr="005F5143" w:rsidRDefault="007C1FDA" w:rsidP="007C1FDA">
      <w:pPr>
        <w:pStyle w:val="Textonotapie"/>
        <w:jc w:val="both"/>
        <w:rPr>
          <w:b/>
        </w:rPr>
      </w:pPr>
      <w:r w:rsidRPr="005F5143">
        <w:rPr>
          <w:rStyle w:val="Refdenotaalpie"/>
        </w:rPr>
        <w:footnoteRef/>
      </w:r>
      <w:r w:rsidRPr="005F5143">
        <w:rPr>
          <w:b/>
        </w:rPr>
        <w:t>Artículo 245.- Determinación gradual de la sanción.-</w:t>
      </w:r>
    </w:p>
    <w:p w:rsidR="007C1FDA" w:rsidRPr="005F5143" w:rsidRDefault="007C1FDA" w:rsidP="007C1FDA">
      <w:pPr>
        <w:pStyle w:val="Textonotapie"/>
        <w:jc w:val="both"/>
      </w:pPr>
      <w:r w:rsidRPr="005F5143">
        <w:t xml:space="preserve">(…) </w:t>
      </w:r>
    </w:p>
    <w:p w:rsidR="007C1FDA" w:rsidRPr="005F5143" w:rsidRDefault="007C1FDA" w:rsidP="007C1FDA">
      <w:pPr>
        <w:pStyle w:val="Textonotapie"/>
        <w:jc w:val="both"/>
      </w:pPr>
      <w:r w:rsidRPr="005F5143">
        <w:t>En caso de incurrir en más de una infracción en un proceso de selección o en la ejecución de un contrato, se aplicará la que resulte mayor.</w:t>
      </w:r>
    </w:p>
    <w:p w:rsidR="007C1FDA" w:rsidRPr="005F5143" w:rsidRDefault="007C1FDA" w:rsidP="007C1FDA">
      <w:pPr>
        <w:pStyle w:val="Textonotapie"/>
        <w:jc w:val="both"/>
      </w:pPr>
    </w:p>
  </w:footnote>
  <w:footnote w:id="11">
    <w:p w:rsidR="007C1FDA" w:rsidRPr="005F5143" w:rsidRDefault="007C1FDA" w:rsidP="007C1FDA">
      <w:pPr>
        <w:autoSpaceDE w:val="0"/>
        <w:autoSpaceDN w:val="0"/>
        <w:adjustRightInd w:val="0"/>
        <w:spacing w:after="0" w:line="240" w:lineRule="auto"/>
        <w:jc w:val="both"/>
        <w:rPr>
          <w:rFonts w:ascii="Times New Roman" w:hAnsi="Times New Roman" w:cs="Times New Roman"/>
          <w:b/>
          <w:bCs/>
          <w:sz w:val="20"/>
          <w:szCs w:val="20"/>
        </w:rPr>
      </w:pPr>
      <w:r w:rsidRPr="005F5143">
        <w:rPr>
          <w:rStyle w:val="Refdenotaalpie"/>
          <w:rFonts w:ascii="Times New Roman" w:hAnsi="Times New Roman"/>
          <w:sz w:val="20"/>
          <w:szCs w:val="20"/>
        </w:rPr>
        <w:footnoteRef/>
      </w:r>
      <w:r w:rsidRPr="005F5143">
        <w:rPr>
          <w:rFonts w:ascii="Times New Roman" w:hAnsi="Times New Roman" w:cs="Times New Roman"/>
          <w:b/>
          <w:bCs/>
          <w:sz w:val="20"/>
          <w:szCs w:val="20"/>
        </w:rPr>
        <w:t xml:space="preserve">Artículo 245.- Determinación gradual de </w:t>
      </w:r>
      <w:smartTag w:uri="urn:schemas-microsoft-com:office:smarttags" w:element="PersonName">
        <w:smartTagPr>
          <w:attr w:name="ProductID" w:val="la Sanci￳n"/>
        </w:smartTagPr>
        <w:r w:rsidRPr="005F5143">
          <w:rPr>
            <w:rFonts w:ascii="Times New Roman" w:hAnsi="Times New Roman" w:cs="Times New Roman"/>
            <w:b/>
            <w:bCs/>
            <w:sz w:val="20"/>
            <w:szCs w:val="20"/>
          </w:rPr>
          <w:t>la Sanción</w:t>
        </w:r>
      </w:smartTag>
    </w:p>
    <w:p w:rsidR="007C1FDA" w:rsidRPr="005F5143" w:rsidRDefault="007C1FDA" w:rsidP="007C1FDA">
      <w:pPr>
        <w:autoSpaceDE w:val="0"/>
        <w:autoSpaceDN w:val="0"/>
        <w:adjustRightInd w:val="0"/>
        <w:spacing w:after="0" w:line="240" w:lineRule="auto"/>
        <w:jc w:val="both"/>
        <w:rPr>
          <w:rFonts w:ascii="Times New Roman" w:hAnsi="Times New Roman" w:cs="Times New Roman"/>
          <w:sz w:val="20"/>
          <w:szCs w:val="20"/>
        </w:rPr>
      </w:pPr>
      <w:r w:rsidRPr="005F5143">
        <w:rPr>
          <w:rFonts w:ascii="Times New Roman" w:hAnsi="Times New Roman" w:cs="Times New Roman"/>
          <w:sz w:val="20"/>
          <w:szCs w:val="20"/>
        </w:rPr>
        <w:t>Para graduar la sanción a imponerse conforme a las disposiciones del presente Título, se considerarán los siguientes criterios:</w:t>
      </w:r>
    </w:p>
    <w:p w:rsidR="007C1FDA" w:rsidRPr="005F5143" w:rsidRDefault="007C1FDA" w:rsidP="007C1FDA">
      <w:pPr>
        <w:autoSpaceDE w:val="0"/>
        <w:autoSpaceDN w:val="0"/>
        <w:adjustRightInd w:val="0"/>
        <w:spacing w:after="0" w:line="240" w:lineRule="auto"/>
        <w:jc w:val="both"/>
        <w:rPr>
          <w:rFonts w:ascii="Times New Roman" w:hAnsi="Times New Roman" w:cs="Times New Roman"/>
          <w:sz w:val="20"/>
          <w:szCs w:val="20"/>
        </w:rPr>
      </w:pPr>
    </w:p>
    <w:p w:rsidR="007C1FDA" w:rsidRPr="005F5143" w:rsidRDefault="007C1FDA" w:rsidP="007C1FDA">
      <w:pPr>
        <w:autoSpaceDE w:val="0"/>
        <w:autoSpaceDN w:val="0"/>
        <w:adjustRightInd w:val="0"/>
        <w:spacing w:after="0" w:line="240" w:lineRule="auto"/>
        <w:jc w:val="both"/>
        <w:rPr>
          <w:rFonts w:ascii="Times New Roman" w:hAnsi="Times New Roman" w:cs="Times New Roman"/>
          <w:sz w:val="20"/>
          <w:szCs w:val="20"/>
        </w:rPr>
      </w:pPr>
      <w:r w:rsidRPr="005F5143">
        <w:rPr>
          <w:rFonts w:ascii="Times New Roman" w:hAnsi="Times New Roman" w:cs="Times New Roman"/>
          <w:sz w:val="20"/>
          <w:szCs w:val="20"/>
        </w:rPr>
        <w:t>1) Naturaleza de la infracción.</w:t>
      </w:r>
    </w:p>
    <w:p w:rsidR="007C1FDA" w:rsidRPr="005F5143" w:rsidRDefault="007C1FDA" w:rsidP="007C1FDA">
      <w:pPr>
        <w:autoSpaceDE w:val="0"/>
        <w:autoSpaceDN w:val="0"/>
        <w:adjustRightInd w:val="0"/>
        <w:spacing w:after="0" w:line="240" w:lineRule="auto"/>
        <w:jc w:val="both"/>
        <w:rPr>
          <w:rFonts w:ascii="Times New Roman" w:hAnsi="Times New Roman" w:cs="Times New Roman"/>
          <w:sz w:val="20"/>
          <w:szCs w:val="20"/>
        </w:rPr>
      </w:pPr>
      <w:r w:rsidRPr="005F5143">
        <w:rPr>
          <w:rFonts w:ascii="Times New Roman" w:hAnsi="Times New Roman" w:cs="Times New Roman"/>
          <w:sz w:val="20"/>
          <w:szCs w:val="20"/>
        </w:rPr>
        <w:t>2) Intencionalidad del infractor.</w:t>
      </w:r>
    </w:p>
    <w:p w:rsidR="007C1FDA" w:rsidRPr="005F5143" w:rsidRDefault="007C1FDA" w:rsidP="007C1FDA">
      <w:pPr>
        <w:autoSpaceDE w:val="0"/>
        <w:autoSpaceDN w:val="0"/>
        <w:adjustRightInd w:val="0"/>
        <w:spacing w:after="0" w:line="240" w:lineRule="auto"/>
        <w:jc w:val="both"/>
        <w:rPr>
          <w:rFonts w:ascii="Times New Roman" w:hAnsi="Times New Roman" w:cs="Times New Roman"/>
          <w:sz w:val="20"/>
          <w:szCs w:val="20"/>
        </w:rPr>
      </w:pPr>
      <w:r w:rsidRPr="005F5143">
        <w:rPr>
          <w:rFonts w:ascii="Times New Roman" w:hAnsi="Times New Roman" w:cs="Times New Roman"/>
          <w:sz w:val="20"/>
          <w:szCs w:val="20"/>
        </w:rPr>
        <w:t>3) Daño causado.</w:t>
      </w:r>
    </w:p>
    <w:p w:rsidR="007C1FDA" w:rsidRPr="005F5143" w:rsidRDefault="007C1FDA" w:rsidP="007C1FDA">
      <w:pPr>
        <w:autoSpaceDE w:val="0"/>
        <w:autoSpaceDN w:val="0"/>
        <w:adjustRightInd w:val="0"/>
        <w:spacing w:after="0" w:line="240" w:lineRule="auto"/>
        <w:jc w:val="both"/>
        <w:rPr>
          <w:rFonts w:ascii="Times New Roman" w:hAnsi="Times New Roman" w:cs="Times New Roman"/>
          <w:sz w:val="20"/>
          <w:szCs w:val="20"/>
        </w:rPr>
      </w:pPr>
      <w:r w:rsidRPr="005F5143">
        <w:rPr>
          <w:rFonts w:ascii="Times New Roman" w:hAnsi="Times New Roman" w:cs="Times New Roman"/>
          <w:sz w:val="20"/>
          <w:szCs w:val="20"/>
        </w:rPr>
        <w:t>4) Reiterancia.</w:t>
      </w:r>
    </w:p>
    <w:p w:rsidR="007C1FDA" w:rsidRPr="005F5143" w:rsidRDefault="007C1FDA" w:rsidP="007C1FDA">
      <w:pPr>
        <w:autoSpaceDE w:val="0"/>
        <w:autoSpaceDN w:val="0"/>
        <w:adjustRightInd w:val="0"/>
        <w:spacing w:after="0" w:line="240" w:lineRule="auto"/>
        <w:jc w:val="both"/>
        <w:rPr>
          <w:rFonts w:ascii="Times New Roman" w:hAnsi="Times New Roman" w:cs="Times New Roman"/>
          <w:sz w:val="20"/>
          <w:szCs w:val="20"/>
        </w:rPr>
      </w:pPr>
      <w:r w:rsidRPr="005F5143">
        <w:rPr>
          <w:rFonts w:ascii="Times New Roman" w:hAnsi="Times New Roman" w:cs="Times New Roman"/>
          <w:sz w:val="20"/>
          <w:szCs w:val="20"/>
        </w:rPr>
        <w:t>5) El reconocimiento de la infracción cometida antes de que sea detectada.</w:t>
      </w:r>
    </w:p>
    <w:p w:rsidR="007C1FDA" w:rsidRPr="005F5143" w:rsidRDefault="007C1FDA" w:rsidP="007C1FDA">
      <w:pPr>
        <w:autoSpaceDE w:val="0"/>
        <w:autoSpaceDN w:val="0"/>
        <w:adjustRightInd w:val="0"/>
        <w:spacing w:after="0" w:line="240" w:lineRule="auto"/>
        <w:jc w:val="both"/>
        <w:rPr>
          <w:rFonts w:ascii="Times New Roman" w:hAnsi="Times New Roman" w:cs="Times New Roman"/>
          <w:sz w:val="20"/>
          <w:szCs w:val="20"/>
        </w:rPr>
      </w:pPr>
      <w:r w:rsidRPr="005F5143">
        <w:rPr>
          <w:rFonts w:ascii="Times New Roman" w:hAnsi="Times New Roman" w:cs="Times New Roman"/>
          <w:sz w:val="20"/>
          <w:szCs w:val="20"/>
        </w:rPr>
        <w:t>6) Circunstancias de tiempo, lugar y modo.</w:t>
      </w:r>
    </w:p>
    <w:p w:rsidR="007C1FDA" w:rsidRPr="005F5143" w:rsidRDefault="007C1FDA" w:rsidP="007C1FDA">
      <w:pPr>
        <w:autoSpaceDE w:val="0"/>
        <w:autoSpaceDN w:val="0"/>
        <w:adjustRightInd w:val="0"/>
        <w:spacing w:after="0" w:line="240" w:lineRule="auto"/>
        <w:jc w:val="both"/>
        <w:rPr>
          <w:rFonts w:ascii="Times New Roman" w:hAnsi="Times New Roman" w:cs="Times New Roman"/>
          <w:sz w:val="20"/>
          <w:szCs w:val="20"/>
        </w:rPr>
      </w:pPr>
      <w:r w:rsidRPr="005F5143">
        <w:rPr>
          <w:rFonts w:ascii="Times New Roman" w:hAnsi="Times New Roman" w:cs="Times New Roman"/>
          <w:sz w:val="20"/>
          <w:szCs w:val="20"/>
        </w:rPr>
        <w:t>7) Condiciones del infractor.</w:t>
      </w:r>
    </w:p>
    <w:p w:rsidR="007C1FDA" w:rsidRPr="005F5143" w:rsidRDefault="007C1FDA" w:rsidP="007C1FDA">
      <w:pPr>
        <w:autoSpaceDE w:val="0"/>
        <w:autoSpaceDN w:val="0"/>
        <w:adjustRightInd w:val="0"/>
        <w:spacing w:after="0" w:line="240" w:lineRule="auto"/>
        <w:jc w:val="both"/>
        <w:rPr>
          <w:rFonts w:ascii="Times New Roman" w:hAnsi="Times New Roman" w:cs="Times New Roman"/>
          <w:sz w:val="20"/>
          <w:szCs w:val="20"/>
        </w:rPr>
      </w:pPr>
      <w:r w:rsidRPr="005F5143">
        <w:rPr>
          <w:rFonts w:ascii="Times New Roman" w:hAnsi="Times New Roman" w:cs="Times New Roman"/>
          <w:sz w:val="20"/>
          <w:szCs w:val="20"/>
        </w:rPr>
        <w:t>8) Conducta procesal del infractor.</w:t>
      </w:r>
    </w:p>
    <w:p w:rsidR="007C1FDA" w:rsidRPr="005F5143" w:rsidRDefault="007C1FDA" w:rsidP="007C1FDA">
      <w:pPr>
        <w:pStyle w:val="Textonotapie"/>
        <w:jc w:val="both"/>
        <w:rPr>
          <w:lang w:val="es-ES_tradnl"/>
        </w:rPr>
      </w:pPr>
    </w:p>
  </w:footnote>
  <w:footnote w:id="12">
    <w:p w:rsidR="007C1FDA" w:rsidRPr="005F5143" w:rsidRDefault="007C1FDA" w:rsidP="007C1FDA">
      <w:pPr>
        <w:pStyle w:val="Textonotapie"/>
        <w:jc w:val="both"/>
      </w:pPr>
      <w:r w:rsidRPr="005F5143">
        <w:rPr>
          <w:rStyle w:val="Refdenotaalpie"/>
        </w:rPr>
        <w:footnoteRef/>
      </w:r>
      <w:r w:rsidRPr="005F5143">
        <w:rPr>
          <w:b/>
        </w:rPr>
        <w:t>Artículo</w:t>
      </w:r>
      <w:r>
        <w:rPr>
          <w:b/>
        </w:rPr>
        <w:t xml:space="preserve"> 4</w:t>
      </w:r>
      <w:r w:rsidRPr="005F5143">
        <w:rPr>
          <w:b/>
        </w:rPr>
        <w:t>.- Principios que rigen a las contrataciones y adquisiciones.-</w:t>
      </w:r>
    </w:p>
    <w:p w:rsidR="007C1FDA" w:rsidRPr="005F5143" w:rsidRDefault="007C1FDA" w:rsidP="007C1FDA">
      <w:pPr>
        <w:autoSpaceDE w:val="0"/>
        <w:autoSpaceDN w:val="0"/>
        <w:adjustRightInd w:val="0"/>
        <w:spacing w:after="0" w:line="240" w:lineRule="auto"/>
        <w:jc w:val="both"/>
        <w:rPr>
          <w:rFonts w:ascii="Times New Roman" w:eastAsia="Calibri" w:hAnsi="Times New Roman" w:cs="Times New Roman"/>
          <w:sz w:val="20"/>
          <w:szCs w:val="20"/>
        </w:rPr>
      </w:pPr>
      <w:r w:rsidRPr="005F5143">
        <w:rPr>
          <w:rFonts w:ascii="Times New Roman" w:eastAsia="Calibri" w:hAnsi="Times New Roman" w:cs="Times New Roman"/>
          <w:sz w:val="20"/>
          <w:szCs w:val="20"/>
        </w:rPr>
        <w:t>Los procesos de contratación regulados por esta</w:t>
      </w:r>
      <w:r>
        <w:rPr>
          <w:rFonts w:ascii="Times New Roman" w:eastAsia="Calibri" w:hAnsi="Times New Roman" w:cs="Times New Roman"/>
          <w:sz w:val="20"/>
          <w:szCs w:val="20"/>
        </w:rPr>
        <w:t xml:space="preserve"> norma</w:t>
      </w:r>
      <w:r w:rsidRPr="005F5143">
        <w:rPr>
          <w:rFonts w:ascii="Times New Roman" w:eastAsia="Calibri" w:hAnsi="Times New Roman" w:cs="Times New Roman"/>
          <w:sz w:val="20"/>
          <w:szCs w:val="20"/>
        </w:rPr>
        <w:t xml:space="preserve"> y su Reglamento se rigen por los siguientes principios; ello sin perjuicio de la</w:t>
      </w:r>
      <w:r>
        <w:rPr>
          <w:rFonts w:ascii="Times New Roman" w:eastAsia="Calibri" w:hAnsi="Times New Roman" w:cs="Times New Roman"/>
          <w:sz w:val="20"/>
          <w:szCs w:val="20"/>
        </w:rPr>
        <w:t xml:space="preserve"> aplicación de otros principios generales del Derecho Público:</w:t>
      </w:r>
    </w:p>
    <w:p w:rsidR="007C1FDA" w:rsidRPr="005F5143" w:rsidRDefault="007C1FDA" w:rsidP="007C1FDA">
      <w:pPr>
        <w:autoSpaceDE w:val="0"/>
        <w:autoSpaceDN w:val="0"/>
        <w:adjustRightInd w:val="0"/>
        <w:spacing w:after="0" w:line="240" w:lineRule="auto"/>
        <w:jc w:val="both"/>
        <w:rPr>
          <w:rFonts w:ascii="Times New Roman" w:eastAsia="Calibri" w:hAnsi="Times New Roman" w:cs="Times New Roman"/>
          <w:sz w:val="20"/>
          <w:szCs w:val="20"/>
        </w:rPr>
      </w:pPr>
      <w:r w:rsidRPr="005F5143">
        <w:rPr>
          <w:rFonts w:ascii="Times New Roman" w:eastAsia="Calibri" w:hAnsi="Times New Roman" w:cs="Times New Roman"/>
          <w:sz w:val="20"/>
          <w:szCs w:val="20"/>
        </w:rPr>
        <w:t>(…)</w:t>
      </w:r>
    </w:p>
    <w:p w:rsidR="007C1FDA" w:rsidRPr="00AF2F7B" w:rsidRDefault="007C1FDA" w:rsidP="007C1FDA">
      <w:pPr>
        <w:pStyle w:val="Prrafodelista"/>
        <w:numPr>
          <w:ilvl w:val="0"/>
          <w:numId w:val="12"/>
        </w:numPr>
        <w:autoSpaceDE w:val="0"/>
        <w:autoSpaceDN w:val="0"/>
        <w:adjustRightInd w:val="0"/>
        <w:spacing w:after="0" w:line="240" w:lineRule="auto"/>
        <w:jc w:val="both"/>
        <w:rPr>
          <w:rFonts w:ascii="Times New Roman" w:hAnsi="Times New Roman" w:cs="Times New Roman"/>
          <w:sz w:val="20"/>
          <w:szCs w:val="20"/>
        </w:rPr>
      </w:pPr>
      <w:r w:rsidRPr="00AF2F7B">
        <w:rPr>
          <w:rFonts w:ascii="Times New Roman" w:eastAsia="Calibri" w:hAnsi="Times New Roman" w:cs="Times New Roman"/>
          <w:b/>
          <w:bCs/>
          <w:sz w:val="20"/>
          <w:szCs w:val="20"/>
        </w:rPr>
        <w:t xml:space="preserve">Principio de Moralidad: </w:t>
      </w:r>
      <w:r w:rsidRPr="00AF2F7B">
        <w:rPr>
          <w:rFonts w:ascii="Times New Roman" w:eastAsia="Calibri" w:hAnsi="Times New Roman" w:cs="Times New Roman"/>
          <w:bCs/>
          <w:sz w:val="20"/>
          <w:szCs w:val="20"/>
        </w:rPr>
        <w:t>todos los actos referidos a los procesos de contratación de las Entidades entrarán sujetos a las reglas de honradez, veracidad, intangibilidad, justicia y probidad</w:t>
      </w:r>
      <w:r w:rsidRPr="00AF2F7B">
        <w:rPr>
          <w:rFonts w:ascii="Times New Roman" w:eastAsia="Calibri" w:hAnsi="Times New Roman" w:cs="Times New Roman"/>
          <w:sz w:val="20"/>
          <w:szCs w:val="20"/>
        </w:rPr>
        <w:t>.</w:t>
      </w:r>
    </w:p>
    <w:p w:rsidR="007C1FDA" w:rsidRPr="005F5143" w:rsidRDefault="007C1FDA" w:rsidP="007C1FDA">
      <w:pPr>
        <w:autoSpaceDE w:val="0"/>
        <w:autoSpaceDN w:val="0"/>
        <w:adjustRightInd w:val="0"/>
        <w:spacing w:after="0" w:line="240" w:lineRule="auto"/>
        <w:jc w:val="both"/>
        <w:rPr>
          <w:rFonts w:ascii="Times New Roman" w:hAnsi="Times New Roman" w:cs="Times New Roman"/>
          <w:sz w:val="20"/>
          <w:szCs w:val="20"/>
        </w:rPr>
      </w:pPr>
      <w:r w:rsidRPr="005F5143">
        <w:rPr>
          <w:rFonts w:ascii="Times New Roman" w:eastAsia="Calibri" w:hAnsi="Times New Roman" w:cs="Times New Roman"/>
          <w:bCs/>
          <w:sz w:val="20"/>
          <w:szCs w:val="20"/>
        </w:rPr>
        <w:t>(…)</w:t>
      </w:r>
    </w:p>
    <w:p w:rsidR="007C1FDA" w:rsidRPr="005F5143" w:rsidRDefault="007C1FDA" w:rsidP="007C1FDA">
      <w:pPr>
        <w:pStyle w:val="Textonotapie"/>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2069" w:rsidRDefault="00022069" w:rsidP="00022069">
    <w:pPr>
      <w:pStyle w:val="Encabezado"/>
      <w:rPr>
        <w:noProof/>
      </w:rPr>
    </w:pPr>
    <w:r>
      <w:rPr>
        <w:noProof/>
        <w:lang w:val="es-ES"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022069" w:rsidRDefault="00022069" w:rsidP="00022069">
    <w:pPr>
      <w:pStyle w:val="Encabezado"/>
      <w:rPr>
        <w:noProof/>
      </w:rPr>
    </w:pPr>
  </w:p>
  <w:p w:rsidR="00022069" w:rsidRDefault="00022069" w:rsidP="00022069">
    <w:pPr>
      <w:pStyle w:val="Encabezado"/>
      <w:jc w:val="center"/>
      <w:rPr>
        <w:rFonts w:ascii="Monotype Corsiva" w:hAnsi="Monotype Corsiva"/>
        <w:b/>
        <w:sz w:val="44"/>
        <w:szCs w:val="44"/>
      </w:rPr>
    </w:pPr>
  </w:p>
  <w:p w:rsidR="00022069" w:rsidRDefault="00022069" w:rsidP="00022069">
    <w:pPr>
      <w:pStyle w:val="Encabezado"/>
      <w:jc w:val="center"/>
      <w:rPr>
        <w:rFonts w:ascii="Calibri" w:hAnsi="Calibri"/>
      </w:rPr>
    </w:pPr>
    <w:r>
      <w:rPr>
        <w:rFonts w:ascii="Monotype Corsiva" w:hAnsi="Monotype Corsiva"/>
        <w:b/>
        <w:sz w:val="44"/>
        <w:szCs w:val="44"/>
      </w:rPr>
      <w:t xml:space="preserve">Resolución Nº   </w:t>
    </w:r>
    <w:r>
      <w:rPr>
        <w:rFonts w:ascii="Tahoma" w:hAnsi="Tahoma" w:cs="Tahoma"/>
        <w:b/>
        <w:sz w:val="44"/>
        <w:szCs w:val="44"/>
      </w:rPr>
      <w:t>1538-2011-TC-S1</w:t>
    </w:r>
  </w:p>
  <w:p w:rsidR="00022069" w:rsidRDefault="00022069">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F5499"/>
    <w:multiLevelType w:val="hybridMultilevel"/>
    <w:tmpl w:val="C8203168"/>
    <w:lvl w:ilvl="0" w:tplc="C5D29506">
      <w:start w:val="1"/>
      <w:numFmt w:val="decimal"/>
      <w:lvlText w:val="%1."/>
      <w:lvlJc w:val="left"/>
      <w:pPr>
        <w:ind w:left="720" w:hanging="360"/>
      </w:pPr>
      <w:rPr>
        <w:rFonts w:hint="default"/>
        <w:b/>
        <w:i w:val="0"/>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D89661A"/>
    <w:multiLevelType w:val="hybridMultilevel"/>
    <w:tmpl w:val="2BE08778"/>
    <w:lvl w:ilvl="0" w:tplc="9C12E830">
      <w:start w:val="1"/>
      <w:numFmt w:val="decimal"/>
      <w:lvlText w:val="%1."/>
      <w:lvlJc w:val="left"/>
      <w:pPr>
        <w:tabs>
          <w:tab w:val="num" w:pos="454"/>
        </w:tabs>
        <w:ind w:left="454" w:hanging="454"/>
      </w:pPr>
      <w:rPr>
        <w:rFonts w:ascii="Tahoma" w:hAnsi="Tahoma" w:cs="Tahoma" w:hint="default"/>
        <w:b/>
        <w:i w:val="0"/>
        <w:shadow/>
        <w:emboss w:val="0"/>
        <w:imprint w:val="0"/>
        <w:color w:val="auto"/>
        <w:sz w:val="20"/>
        <w:szCs w:val="20"/>
        <w:u w:color="FFFFFF"/>
        <w:effect w:val="none"/>
      </w:rPr>
    </w:lvl>
    <w:lvl w:ilvl="1" w:tplc="5BA68C46">
      <w:start w:val="1"/>
      <w:numFmt w:val="lowerRoman"/>
      <w:lvlText w:val="(%2)"/>
      <w:lvlJc w:val="left"/>
      <w:pPr>
        <w:tabs>
          <w:tab w:val="num" w:pos="1800"/>
        </w:tabs>
        <w:ind w:left="1800" w:hanging="720"/>
      </w:pPr>
      <w:rPr>
        <w:rFonts w:hint="default"/>
        <w:b/>
      </w:rPr>
    </w:lvl>
    <w:lvl w:ilvl="2" w:tplc="91224666">
      <w:start w:val="1"/>
      <w:numFmt w:val="lowerRoman"/>
      <w:lvlText w:val="%3."/>
      <w:lvlJc w:val="left"/>
      <w:pPr>
        <w:tabs>
          <w:tab w:val="num" w:pos="1800"/>
        </w:tabs>
        <w:ind w:left="1800" w:hanging="720"/>
      </w:pPr>
      <w:rPr>
        <w:rFonts w:hint="default"/>
        <w:b/>
      </w:rPr>
    </w:lvl>
    <w:lvl w:ilvl="3" w:tplc="E034C060">
      <w:start w:val="1"/>
      <w:numFmt w:val="lowerLetter"/>
      <w:lvlText w:val="%4."/>
      <w:lvlJc w:val="left"/>
      <w:pPr>
        <w:tabs>
          <w:tab w:val="num" w:pos="2880"/>
        </w:tabs>
        <w:ind w:left="2880" w:hanging="360"/>
      </w:pPr>
      <w:rPr>
        <w:rFonts w:hint="default"/>
        <w:b/>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FEB3375"/>
    <w:multiLevelType w:val="hybridMultilevel"/>
    <w:tmpl w:val="EC5072E0"/>
    <w:lvl w:ilvl="0" w:tplc="9C3878D6">
      <w:start w:val="1"/>
      <w:numFmt w:val="lowerRoman"/>
      <w:lvlText w:val="%1."/>
      <w:lvlJc w:val="right"/>
      <w:pPr>
        <w:ind w:left="1440" w:hanging="72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nsid w:val="25D10DE7"/>
    <w:multiLevelType w:val="hybridMultilevel"/>
    <w:tmpl w:val="DDDA9ECC"/>
    <w:lvl w:ilvl="0" w:tplc="87820FE4">
      <w:start w:val="2"/>
      <w:numFmt w:val="lowerLetter"/>
      <w:lvlText w:val="%1)"/>
      <w:lvlJc w:val="left"/>
      <w:pPr>
        <w:ind w:left="332" w:hanging="360"/>
      </w:pPr>
      <w:rPr>
        <w:rFonts w:eastAsia="Calibri" w:hint="default"/>
        <w:b/>
      </w:rPr>
    </w:lvl>
    <w:lvl w:ilvl="1" w:tplc="280A0019" w:tentative="1">
      <w:start w:val="1"/>
      <w:numFmt w:val="lowerLetter"/>
      <w:lvlText w:val="%2."/>
      <w:lvlJc w:val="left"/>
      <w:pPr>
        <w:ind w:left="1052" w:hanging="360"/>
      </w:pPr>
    </w:lvl>
    <w:lvl w:ilvl="2" w:tplc="280A001B" w:tentative="1">
      <w:start w:val="1"/>
      <w:numFmt w:val="lowerRoman"/>
      <w:lvlText w:val="%3."/>
      <w:lvlJc w:val="right"/>
      <w:pPr>
        <w:ind w:left="1772" w:hanging="180"/>
      </w:pPr>
    </w:lvl>
    <w:lvl w:ilvl="3" w:tplc="280A000F" w:tentative="1">
      <w:start w:val="1"/>
      <w:numFmt w:val="decimal"/>
      <w:lvlText w:val="%4."/>
      <w:lvlJc w:val="left"/>
      <w:pPr>
        <w:ind w:left="2492" w:hanging="360"/>
      </w:pPr>
    </w:lvl>
    <w:lvl w:ilvl="4" w:tplc="280A0019" w:tentative="1">
      <w:start w:val="1"/>
      <w:numFmt w:val="lowerLetter"/>
      <w:lvlText w:val="%5."/>
      <w:lvlJc w:val="left"/>
      <w:pPr>
        <w:ind w:left="3212" w:hanging="360"/>
      </w:pPr>
    </w:lvl>
    <w:lvl w:ilvl="5" w:tplc="280A001B" w:tentative="1">
      <w:start w:val="1"/>
      <w:numFmt w:val="lowerRoman"/>
      <w:lvlText w:val="%6."/>
      <w:lvlJc w:val="right"/>
      <w:pPr>
        <w:ind w:left="3932" w:hanging="180"/>
      </w:pPr>
    </w:lvl>
    <w:lvl w:ilvl="6" w:tplc="280A000F" w:tentative="1">
      <w:start w:val="1"/>
      <w:numFmt w:val="decimal"/>
      <w:lvlText w:val="%7."/>
      <w:lvlJc w:val="left"/>
      <w:pPr>
        <w:ind w:left="4652" w:hanging="360"/>
      </w:pPr>
    </w:lvl>
    <w:lvl w:ilvl="7" w:tplc="280A0019" w:tentative="1">
      <w:start w:val="1"/>
      <w:numFmt w:val="lowerLetter"/>
      <w:lvlText w:val="%8."/>
      <w:lvlJc w:val="left"/>
      <w:pPr>
        <w:ind w:left="5372" w:hanging="360"/>
      </w:pPr>
    </w:lvl>
    <w:lvl w:ilvl="8" w:tplc="280A001B" w:tentative="1">
      <w:start w:val="1"/>
      <w:numFmt w:val="lowerRoman"/>
      <w:lvlText w:val="%9."/>
      <w:lvlJc w:val="right"/>
      <w:pPr>
        <w:ind w:left="6092" w:hanging="180"/>
      </w:pPr>
    </w:lvl>
  </w:abstractNum>
  <w:abstractNum w:abstractNumId="4">
    <w:nsid w:val="2E192307"/>
    <w:multiLevelType w:val="hybridMultilevel"/>
    <w:tmpl w:val="18DE498A"/>
    <w:lvl w:ilvl="0" w:tplc="986AC94A">
      <w:start w:val="1"/>
      <w:numFmt w:val="lowerRoman"/>
      <w:lvlText w:val="%1."/>
      <w:lvlJc w:val="right"/>
      <w:pPr>
        <w:ind w:left="1174" w:hanging="360"/>
      </w:pPr>
      <w:rPr>
        <w:b/>
      </w:rPr>
    </w:lvl>
    <w:lvl w:ilvl="1" w:tplc="280A0019" w:tentative="1">
      <w:start w:val="1"/>
      <w:numFmt w:val="lowerLetter"/>
      <w:lvlText w:val="%2."/>
      <w:lvlJc w:val="left"/>
      <w:pPr>
        <w:ind w:left="1894" w:hanging="360"/>
      </w:pPr>
    </w:lvl>
    <w:lvl w:ilvl="2" w:tplc="280A001B" w:tentative="1">
      <w:start w:val="1"/>
      <w:numFmt w:val="lowerRoman"/>
      <w:lvlText w:val="%3."/>
      <w:lvlJc w:val="right"/>
      <w:pPr>
        <w:ind w:left="2614" w:hanging="180"/>
      </w:pPr>
    </w:lvl>
    <w:lvl w:ilvl="3" w:tplc="280A000F" w:tentative="1">
      <w:start w:val="1"/>
      <w:numFmt w:val="decimal"/>
      <w:lvlText w:val="%4."/>
      <w:lvlJc w:val="left"/>
      <w:pPr>
        <w:ind w:left="3334" w:hanging="360"/>
      </w:pPr>
    </w:lvl>
    <w:lvl w:ilvl="4" w:tplc="280A0019" w:tentative="1">
      <w:start w:val="1"/>
      <w:numFmt w:val="lowerLetter"/>
      <w:lvlText w:val="%5."/>
      <w:lvlJc w:val="left"/>
      <w:pPr>
        <w:ind w:left="4054" w:hanging="360"/>
      </w:pPr>
    </w:lvl>
    <w:lvl w:ilvl="5" w:tplc="280A001B" w:tentative="1">
      <w:start w:val="1"/>
      <w:numFmt w:val="lowerRoman"/>
      <w:lvlText w:val="%6."/>
      <w:lvlJc w:val="right"/>
      <w:pPr>
        <w:ind w:left="4774" w:hanging="180"/>
      </w:pPr>
    </w:lvl>
    <w:lvl w:ilvl="6" w:tplc="280A000F" w:tentative="1">
      <w:start w:val="1"/>
      <w:numFmt w:val="decimal"/>
      <w:lvlText w:val="%7."/>
      <w:lvlJc w:val="left"/>
      <w:pPr>
        <w:ind w:left="5494" w:hanging="360"/>
      </w:pPr>
    </w:lvl>
    <w:lvl w:ilvl="7" w:tplc="280A0019" w:tentative="1">
      <w:start w:val="1"/>
      <w:numFmt w:val="lowerLetter"/>
      <w:lvlText w:val="%8."/>
      <w:lvlJc w:val="left"/>
      <w:pPr>
        <w:ind w:left="6214" w:hanging="360"/>
      </w:pPr>
    </w:lvl>
    <w:lvl w:ilvl="8" w:tplc="280A001B" w:tentative="1">
      <w:start w:val="1"/>
      <w:numFmt w:val="lowerRoman"/>
      <w:lvlText w:val="%9."/>
      <w:lvlJc w:val="right"/>
      <w:pPr>
        <w:ind w:left="6934" w:hanging="180"/>
      </w:pPr>
    </w:lvl>
  </w:abstractNum>
  <w:abstractNum w:abstractNumId="5">
    <w:nsid w:val="490628FE"/>
    <w:multiLevelType w:val="hybridMultilevel"/>
    <w:tmpl w:val="6C740318"/>
    <w:lvl w:ilvl="0" w:tplc="0A74569C">
      <w:start w:val="1"/>
      <w:numFmt w:val="decimal"/>
      <w:lvlText w:val="%1."/>
      <w:lvlJc w:val="left"/>
      <w:pPr>
        <w:tabs>
          <w:tab w:val="num" w:pos="720"/>
        </w:tabs>
        <w:ind w:left="720" w:hanging="360"/>
      </w:pPr>
      <w:rPr>
        <w:rFonts w:cs="Times New Roman"/>
        <w:b/>
        <w:shadow/>
        <w:sz w:val="20"/>
        <w:szCs w:val="20"/>
      </w:rPr>
    </w:lvl>
    <w:lvl w:ilvl="1" w:tplc="0C0A0019">
      <w:start w:val="1"/>
      <w:numFmt w:val="lowerLetter"/>
      <w:lvlText w:val="%2."/>
      <w:lvlJc w:val="left"/>
      <w:pPr>
        <w:tabs>
          <w:tab w:val="num" w:pos="1800"/>
        </w:tabs>
        <w:ind w:left="1800" w:hanging="360"/>
      </w:pPr>
      <w:rPr>
        <w:rFonts w:cs="Times New Roman"/>
      </w:rPr>
    </w:lvl>
    <w:lvl w:ilvl="2" w:tplc="0C0A001B">
      <w:start w:val="1"/>
      <w:numFmt w:val="lowerRoman"/>
      <w:lvlText w:val="%3."/>
      <w:lvlJc w:val="right"/>
      <w:pPr>
        <w:tabs>
          <w:tab w:val="num" w:pos="2520"/>
        </w:tabs>
        <w:ind w:left="2520" w:hanging="180"/>
      </w:pPr>
      <w:rPr>
        <w:rFonts w:cs="Times New Roman"/>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start w:val="1"/>
      <w:numFmt w:val="decimal"/>
      <w:lvlText w:val="%7."/>
      <w:lvlJc w:val="left"/>
      <w:pPr>
        <w:tabs>
          <w:tab w:val="num" w:pos="5400"/>
        </w:tabs>
        <w:ind w:left="5400" w:hanging="360"/>
      </w:pPr>
      <w:rPr>
        <w:rFonts w:cs="Times New Roman"/>
      </w:rPr>
    </w:lvl>
    <w:lvl w:ilvl="7" w:tplc="0C0A0019">
      <w:start w:val="1"/>
      <w:numFmt w:val="lowerLetter"/>
      <w:lvlText w:val="%8."/>
      <w:lvlJc w:val="left"/>
      <w:pPr>
        <w:tabs>
          <w:tab w:val="num" w:pos="6120"/>
        </w:tabs>
        <w:ind w:left="6120" w:hanging="360"/>
      </w:pPr>
      <w:rPr>
        <w:rFonts w:cs="Times New Roman"/>
      </w:rPr>
    </w:lvl>
    <w:lvl w:ilvl="8" w:tplc="0C0A001B">
      <w:start w:val="1"/>
      <w:numFmt w:val="lowerRoman"/>
      <w:lvlText w:val="%9."/>
      <w:lvlJc w:val="right"/>
      <w:pPr>
        <w:tabs>
          <w:tab w:val="num" w:pos="6840"/>
        </w:tabs>
        <w:ind w:left="6840" w:hanging="180"/>
      </w:pPr>
      <w:rPr>
        <w:rFonts w:cs="Times New Roman"/>
      </w:rPr>
    </w:lvl>
  </w:abstractNum>
  <w:abstractNum w:abstractNumId="6">
    <w:nsid w:val="4E637039"/>
    <w:multiLevelType w:val="hybridMultilevel"/>
    <w:tmpl w:val="6E787B2E"/>
    <w:lvl w:ilvl="0" w:tplc="1518877A">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4F97194A"/>
    <w:multiLevelType w:val="hybridMultilevel"/>
    <w:tmpl w:val="F528A8EA"/>
    <w:lvl w:ilvl="0" w:tplc="C608AF4E">
      <w:start w:val="1"/>
      <w:numFmt w:val="lowerRoman"/>
      <w:lvlText w:val="(%1)"/>
      <w:lvlJc w:val="left"/>
      <w:pPr>
        <w:ind w:left="1174" w:hanging="360"/>
      </w:pPr>
      <w:rPr>
        <w:rFonts w:hint="default"/>
        <w:b/>
        <w:sz w:val="20"/>
        <w:szCs w:val="20"/>
      </w:rPr>
    </w:lvl>
    <w:lvl w:ilvl="1" w:tplc="280A0019" w:tentative="1">
      <w:start w:val="1"/>
      <w:numFmt w:val="lowerLetter"/>
      <w:lvlText w:val="%2."/>
      <w:lvlJc w:val="left"/>
      <w:pPr>
        <w:ind w:left="1894" w:hanging="360"/>
      </w:pPr>
    </w:lvl>
    <w:lvl w:ilvl="2" w:tplc="280A001B" w:tentative="1">
      <w:start w:val="1"/>
      <w:numFmt w:val="lowerRoman"/>
      <w:lvlText w:val="%3."/>
      <w:lvlJc w:val="right"/>
      <w:pPr>
        <w:ind w:left="2614" w:hanging="180"/>
      </w:pPr>
    </w:lvl>
    <w:lvl w:ilvl="3" w:tplc="280A000F" w:tentative="1">
      <w:start w:val="1"/>
      <w:numFmt w:val="decimal"/>
      <w:lvlText w:val="%4."/>
      <w:lvlJc w:val="left"/>
      <w:pPr>
        <w:ind w:left="3334" w:hanging="360"/>
      </w:pPr>
    </w:lvl>
    <w:lvl w:ilvl="4" w:tplc="280A0019" w:tentative="1">
      <w:start w:val="1"/>
      <w:numFmt w:val="lowerLetter"/>
      <w:lvlText w:val="%5."/>
      <w:lvlJc w:val="left"/>
      <w:pPr>
        <w:ind w:left="4054" w:hanging="360"/>
      </w:pPr>
    </w:lvl>
    <w:lvl w:ilvl="5" w:tplc="280A001B" w:tentative="1">
      <w:start w:val="1"/>
      <w:numFmt w:val="lowerRoman"/>
      <w:lvlText w:val="%6."/>
      <w:lvlJc w:val="right"/>
      <w:pPr>
        <w:ind w:left="4774" w:hanging="180"/>
      </w:pPr>
    </w:lvl>
    <w:lvl w:ilvl="6" w:tplc="280A000F" w:tentative="1">
      <w:start w:val="1"/>
      <w:numFmt w:val="decimal"/>
      <w:lvlText w:val="%7."/>
      <w:lvlJc w:val="left"/>
      <w:pPr>
        <w:ind w:left="5494" w:hanging="360"/>
      </w:pPr>
    </w:lvl>
    <w:lvl w:ilvl="7" w:tplc="280A0019" w:tentative="1">
      <w:start w:val="1"/>
      <w:numFmt w:val="lowerLetter"/>
      <w:lvlText w:val="%8."/>
      <w:lvlJc w:val="left"/>
      <w:pPr>
        <w:ind w:left="6214" w:hanging="360"/>
      </w:pPr>
    </w:lvl>
    <w:lvl w:ilvl="8" w:tplc="280A001B" w:tentative="1">
      <w:start w:val="1"/>
      <w:numFmt w:val="lowerRoman"/>
      <w:lvlText w:val="%9."/>
      <w:lvlJc w:val="right"/>
      <w:pPr>
        <w:ind w:left="6934" w:hanging="180"/>
      </w:pPr>
    </w:lvl>
  </w:abstractNum>
  <w:abstractNum w:abstractNumId="8">
    <w:nsid w:val="575B081F"/>
    <w:multiLevelType w:val="hybridMultilevel"/>
    <w:tmpl w:val="AF42F2D8"/>
    <w:lvl w:ilvl="0" w:tplc="FF748BCC">
      <w:start w:val="1"/>
      <w:numFmt w:val="lowerLetter"/>
      <w:lvlText w:val="%1)"/>
      <w:lvlJc w:val="left"/>
      <w:pPr>
        <w:ind w:left="814" w:hanging="360"/>
      </w:pPr>
      <w:rPr>
        <w:rFonts w:ascii="Bookman Old Style" w:eastAsia="Calibri" w:hAnsi="Bookman Old Style" w:cs="Tahoma" w:hint="default"/>
        <w:sz w:val="22"/>
        <w:u w:val="none"/>
      </w:rPr>
    </w:lvl>
    <w:lvl w:ilvl="1" w:tplc="280A0019" w:tentative="1">
      <w:start w:val="1"/>
      <w:numFmt w:val="lowerLetter"/>
      <w:lvlText w:val="%2."/>
      <w:lvlJc w:val="left"/>
      <w:pPr>
        <w:ind w:left="1534" w:hanging="360"/>
      </w:pPr>
    </w:lvl>
    <w:lvl w:ilvl="2" w:tplc="280A001B" w:tentative="1">
      <w:start w:val="1"/>
      <w:numFmt w:val="lowerRoman"/>
      <w:lvlText w:val="%3."/>
      <w:lvlJc w:val="right"/>
      <w:pPr>
        <w:ind w:left="2254" w:hanging="180"/>
      </w:pPr>
    </w:lvl>
    <w:lvl w:ilvl="3" w:tplc="280A000F" w:tentative="1">
      <w:start w:val="1"/>
      <w:numFmt w:val="decimal"/>
      <w:lvlText w:val="%4."/>
      <w:lvlJc w:val="left"/>
      <w:pPr>
        <w:ind w:left="2974" w:hanging="360"/>
      </w:pPr>
    </w:lvl>
    <w:lvl w:ilvl="4" w:tplc="280A0019" w:tentative="1">
      <w:start w:val="1"/>
      <w:numFmt w:val="lowerLetter"/>
      <w:lvlText w:val="%5."/>
      <w:lvlJc w:val="left"/>
      <w:pPr>
        <w:ind w:left="3694" w:hanging="360"/>
      </w:pPr>
    </w:lvl>
    <w:lvl w:ilvl="5" w:tplc="280A001B" w:tentative="1">
      <w:start w:val="1"/>
      <w:numFmt w:val="lowerRoman"/>
      <w:lvlText w:val="%6."/>
      <w:lvlJc w:val="right"/>
      <w:pPr>
        <w:ind w:left="4414" w:hanging="180"/>
      </w:pPr>
    </w:lvl>
    <w:lvl w:ilvl="6" w:tplc="280A000F" w:tentative="1">
      <w:start w:val="1"/>
      <w:numFmt w:val="decimal"/>
      <w:lvlText w:val="%7."/>
      <w:lvlJc w:val="left"/>
      <w:pPr>
        <w:ind w:left="5134" w:hanging="360"/>
      </w:pPr>
    </w:lvl>
    <w:lvl w:ilvl="7" w:tplc="280A0019" w:tentative="1">
      <w:start w:val="1"/>
      <w:numFmt w:val="lowerLetter"/>
      <w:lvlText w:val="%8."/>
      <w:lvlJc w:val="left"/>
      <w:pPr>
        <w:ind w:left="5854" w:hanging="360"/>
      </w:pPr>
    </w:lvl>
    <w:lvl w:ilvl="8" w:tplc="280A001B" w:tentative="1">
      <w:start w:val="1"/>
      <w:numFmt w:val="lowerRoman"/>
      <w:lvlText w:val="%9."/>
      <w:lvlJc w:val="right"/>
      <w:pPr>
        <w:ind w:left="6574" w:hanging="180"/>
      </w:pPr>
    </w:lvl>
  </w:abstractNum>
  <w:abstractNum w:abstractNumId="9">
    <w:nsid w:val="5C637F44"/>
    <w:multiLevelType w:val="hybridMultilevel"/>
    <w:tmpl w:val="144E45FC"/>
    <w:lvl w:ilvl="0" w:tplc="4E4E57C6">
      <w:start w:val="1"/>
      <w:numFmt w:val="decimal"/>
      <w:lvlText w:val="%1."/>
      <w:lvlJc w:val="left"/>
      <w:pPr>
        <w:ind w:left="720" w:hanging="360"/>
      </w:pPr>
      <w:rPr>
        <w:b/>
        <w:lang w:val="es-ES_tradnl"/>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E1931F5"/>
    <w:multiLevelType w:val="hybridMultilevel"/>
    <w:tmpl w:val="4E907018"/>
    <w:lvl w:ilvl="0" w:tplc="AA54D818">
      <w:start w:val="1"/>
      <w:numFmt w:val="decimal"/>
      <w:lvlText w:val="%1."/>
      <w:lvlJc w:val="left"/>
      <w:pPr>
        <w:tabs>
          <w:tab w:val="num" w:pos="360"/>
        </w:tabs>
        <w:ind w:left="360" w:hanging="360"/>
      </w:pPr>
      <w:rPr>
        <w:rFonts w:ascii="Tahoma" w:hAnsi="Tahoma" w:cs="Tahoma" w:hint="default"/>
        <w:b/>
        <w:i w:val="0"/>
        <w:sz w:val="22"/>
        <w:szCs w:val="22"/>
      </w:rPr>
    </w:lvl>
    <w:lvl w:ilvl="1" w:tplc="23EEA8BE">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5FF63D8B"/>
    <w:multiLevelType w:val="hybridMultilevel"/>
    <w:tmpl w:val="18F6FD26"/>
    <w:lvl w:ilvl="0" w:tplc="54189A5A">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78E003B4"/>
    <w:multiLevelType w:val="hybridMultilevel"/>
    <w:tmpl w:val="DA686440"/>
    <w:lvl w:ilvl="0" w:tplc="5642B49E">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8"/>
  </w:num>
  <w:num w:numId="5">
    <w:abstractNumId w:val="7"/>
  </w:num>
  <w:num w:numId="6">
    <w:abstractNumId w:val="0"/>
  </w:num>
  <w:num w:numId="7">
    <w:abstractNumId w:val="6"/>
  </w:num>
  <w:num w:numId="8">
    <w:abstractNumId w:val="12"/>
  </w:num>
  <w:num w:numId="9">
    <w:abstractNumId w:val="2"/>
  </w:num>
  <w:num w:numId="10">
    <w:abstractNumId w:val="11"/>
  </w:num>
  <w:num w:numId="11">
    <w:abstractNumId w:val="10"/>
  </w:num>
  <w:num w:numId="12">
    <w:abstractNumId w:val="3"/>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7C1FDA"/>
    <w:rsid w:val="00022069"/>
    <w:rsid w:val="002F10F3"/>
    <w:rsid w:val="007C1FDA"/>
    <w:rsid w:val="00831D88"/>
    <w:rsid w:val="00DB0BB5"/>
    <w:rsid w:val="00F95BB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BB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aliases w:val="Car,Car Car Car,Car Car,Texto nota pie1,Car4,Texto independiente1, Car, Car4,Body Text,Car2 Car Car Car Car Car,Car2 Car,Car2,Car1 Car, Car2 Car Car Car Car Car, Car2 Car, Car2, Car1 Car"/>
    <w:basedOn w:val="Normal"/>
    <w:link w:val="TextonotapieCar"/>
    <w:semiHidden/>
    <w:rsid w:val="007C1FDA"/>
    <w:pPr>
      <w:spacing w:after="0" w:line="240" w:lineRule="auto"/>
    </w:pPr>
    <w:rPr>
      <w:rFonts w:ascii="Times New Roman" w:eastAsia="Calibri" w:hAnsi="Times New Roman" w:cs="Times New Roman"/>
      <w:sz w:val="20"/>
      <w:szCs w:val="20"/>
      <w:lang w:val="es-ES" w:eastAsia="es-PE"/>
    </w:rPr>
  </w:style>
  <w:style w:type="character" w:customStyle="1" w:styleId="TextonotapieCar">
    <w:name w:val="Texto nota pie Car"/>
    <w:aliases w:val="Car Car1,Car Car Car Car,Car Car Car1,Texto nota pie1 Car,Car4 Car,Texto independiente1 Car, Car Car, Car4 Car,Body Text Car,Car2 Car Car Car Car Car Car,Car2 Car Car,Car2 Car1,Car1 Car Car, Car2 Car Car Car Car Car Car, Car2 Car Car"/>
    <w:basedOn w:val="Fuentedeprrafopredeter"/>
    <w:link w:val="Textonotapie"/>
    <w:semiHidden/>
    <w:rsid w:val="007C1FDA"/>
    <w:rPr>
      <w:rFonts w:ascii="Times New Roman" w:eastAsia="Calibri" w:hAnsi="Times New Roman" w:cs="Times New Roman"/>
      <w:sz w:val="20"/>
      <w:szCs w:val="20"/>
      <w:lang w:val="es-ES" w:eastAsia="es-PE"/>
    </w:rPr>
  </w:style>
  <w:style w:type="character" w:styleId="Refdenotaalpie">
    <w:name w:val="footnote reference"/>
    <w:basedOn w:val="Fuentedeprrafopredeter"/>
    <w:semiHidden/>
    <w:rsid w:val="007C1FDA"/>
    <w:rPr>
      <w:rFonts w:cs="Times New Roman"/>
      <w:vertAlign w:val="superscript"/>
    </w:rPr>
  </w:style>
  <w:style w:type="paragraph" w:styleId="Piedepgina">
    <w:name w:val="footer"/>
    <w:basedOn w:val="Normal"/>
    <w:link w:val="PiedepginaCar"/>
    <w:uiPriority w:val="99"/>
    <w:unhideWhenUsed/>
    <w:rsid w:val="007C1FD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C1FDA"/>
  </w:style>
  <w:style w:type="paragraph" w:styleId="Prrafodelista">
    <w:name w:val="List Paragraph"/>
    <w:basedOn w:val="Normal"/>
    <w:uiPriority w:val="34"/>
    <w:qFormat/>
    <w:rsid w:val="007C1FDA"/>
    <w:pPr>
      <w:ind w:left="720"/>
      <w:contextualSpacing/>
    </w:pPr>
  </w:style>
  <w:style w:type="paragraph" w:styleId="Textodeglobo">
    <w:name w:val="Balloon Text"/>
    <w:basedOn w:val="Normal"/>
    <w:link w:val="TextodegloboCar"/>
    <w:uiPriority w:val="99"/>
    <w:semiHidden/>
    <w:unhideWhenUsed/>
    <w:rsid w:val="007C1FD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C1FDA"/>
    <w:rPr>
      <w:rFonts w:ascii="Tahoma" w:hAnsi="Tahoma" w:cs="Tahoma"/>
      <w:sz w:val="16"/>
      <w:szCs w:val="16"/>
    </w:rPr>
  </w:style>
  <w:style w:type="paragraph" w:styleId="Encabezado">
    <w:name w:val="header"/>
    <w:aliases w:val="encabezado,Encabezado Car Car Car Car,Encabezado Car Car,maria,h"/>
    <w:basedOn w:val="Normal"/>
    <w:link w:val="EncabezadoCar"/>
    <w:uiPriority w:val="99"/>
    <w:semiHidden/>
    <w:unhideWhenUsed/>
    <w:rsid w:val="00022069"/>
    <w:pPr>
      <w:tabs>
        <w:tab w:val="center" w:pos="4252"/>
        <w:tab w:val="right" w:pos="8504"/>
      </w:tabs>
      <w:spacing w:after="0" w:line="240" w:lineRule="auto"/>
    </w:pPr>
  </w:style>
  <w:style w:type="character" w:customStyle="1" w:styleId="EncabezadoCar">
    <w:name w:val="Encabezado Car"/>
    <w:aliases w:val="encabezado Car,Encabezado Car Car Car Car Car,Encabezado Car Car Car,maria Car,h Car"/>
    <w:basedOn w:val="Fuentedeprrafopredeter"/>
    <w:link w:val="Encabezado"/>
    <w:uiPriority w:val="99"/>
    <w:semiHidden/>
    <w:rsid w:val="000220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aliases w:val="Car,Car Car Car,Car Car,Texto nota pie1,Car4,Texto independiente1, Car, Car4,Body Text,Car2 Car Car Car Car Car,Car2 Car,Car2,Car1 Car, Car2 Car Car Car Car Car, Car2 Car, Car2, Car1 Car"/>
    <w:basedOn w:val="Normal"/>
    <w:link w:val="TextonotapieCar"/>
    <w:semiHidden/>
    <w:rsid w:val="007C1FDA"/>
    <w:pPr>
      <w:spacing w:after="0" w:line="240" w:lineRule="auto"/>
    </w:pPr>
    <w:rPr>
      <w:rFonts w:ascii="Times New Roman" w:eastAsia="Calibri" w:hAnsi="Times New Roman" w:cs="Times New Roman"/>
      <w:sz w:val="20"/>
      <w:szCs w:val="20"/>
      <w:lang w:val="es-ES" w:eastAsia="es-PE"/>
    </w:rPr>
  </w:style>
  <w:style w:type="character" w:customStyle="1" w:styleId="TextonotapieCar">
    <w:name w:val="Texto nota pie Car"/>
    <w:aliases w:val="Car Car1,Car Car Car Car,Car Car Car1,Texto nota pie1 Car,Car4 Car,Texto independiente1 Car, Car Car, Car4 Car,Body Text Car,Car2 Car Car Car Car Car Car,Car2 Car Car,Car2 Car1,Car1 Car Car, Car2 Car Car Car Car Car Car, Car2 Car Car"/>
    <w:basedOn w:val="Fuentedeprrafopredeter"/>
    <w:link w:val="Textonotapie"/>
    <w:semiHidden/>
    <w:rsid w:val="007C1FDA"/>
    <w:rPr>
      <w:rFonts w:ascii="Times New Roman" w:eastAsia="Calibri" w:hAnsi="Times New Roman" w:cs="Times New Roman"/>
      <w:sz w:val="20"/>
      <w:szCs w:val="20"/>
      <w:lang w:val="es-ES" w:eastAsia="es-PE"/>
    </w:rPr>
  </w:style>
  <w:style w:type="character" w:styleId="Refdenotaalpie">
    <w:name w:val="footnote reference"/>
    <w:basedOn w:val="Fuentedeprrafopredeter"/>
    <w:semiHidden/>
    <w:rsid w:val="007C1FDA"/>
    <w:rPr>
      <w:rFonts w:cs="Times New Roman"/>
      <w:vertAlign w:val="superscript"/>
    </w:rPr>
  </w:style>
  <w:style w:type="paragraph" w:styleId="Piedepgina">
    <w:name w:val="footer"/>
    <w:basedOn w:val="Normal"/>
    <w:link w:val="PiedepginaCar"/>
    <w:uiPriority w:val="99"/>
    <w:unhideWhenUsed/>
    <w:rsid w:val="007C1FD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C1FDA"/>
  </w:style>
  <w:style w:type="paragraph" w:styleId="Prrafodelista">
    <w:name w:val="List Paragraph"/>
    <w:basedOn w:val="Normal"/>
    <w:uiPriority w:val="34"/>
    <w:qFormat/>
    <w:rsid w:val="007C1FDA"/>
    <w:pPr>
      <w:ind w:left="720"/>
      <w:contextualSpacing/>
    </w:pPr>
  </w:style>
  <w:style w:type="paragraph" w:styleId="Textodeglobo">
    <w:name w:val="Balloon Text"/>
    <w:basedOn w:val="Normal"/>
    <w:link w:val="TextodegloboCar"/>
    <w:uiPriority w:val="99"/>
    <w:semiHidden/>
    <w:unhideWhenUsed/>
    <w:rsid w:val="007C1FD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C1FD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09880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15</Pages>
  <Words>4875</Words>
  <Characters>26818</Characters>
  <Application>Microsoft Office Word</Application>
  <DocSecurity>0</DocSecurity>
  <Lines>223</Lines>
  <Paragraphs>63</Paragraphs>
  <ScaleCrop>false</ScaleCrop>
  <Company/>
  <LinksUpToDate>false</LinksUpToDate>
  <CharactersWithSpaces>31630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del Carmen Negreiros Andrade</dc:creator>
  <cp:lastModifiedBy>bcaceres</cp:lastModifiedBy>
  <cp:revision>2</cp:revision>
  <cp:lastPrinted>2011-09-20T21:00:00Z</cp:lastPrinted>
  <dcterms:created xsi:type="dcterms:W3CDTF">2011-09-20T20:48:00Z</dcterms:created>
  <dcterms:modified xsi:type="dcterms:W3CDTF">2011-10-07T16:42:00Z</dcterms:modified>
</cp:coreProperties>
</file>